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Digital Memory Future Scope and Roadmap</w:t>
      </w:r>
    </w:p>
    <w:p>
      <w:r>
        <w:rPr>
          <w:i/>
        </w:rPr>
        <w:t xml:space="preserve">Review document  |  Source </w:t>
      </w:r>
      <w:hyperlink r:id="rId11">
        <w:r>
          <w:rPr>
            <w:color w:val="185A83"/>
          </w:rPr>
          <w:t xml:space="preserve">docs/FUTURE_SCOPE.md</w:t>
        </w:r>
      </w:hyperlink>
    </w:p>
    <w:p>
      <w:r>
        <w:rPr>
          <w:b w:val="0"/>
          <w:i w:val="0"/>
        </w:rPr>
        <w:t xml:space="preserve">Proposed work after the 19 October 2026 review. These items are </w:t>
      </w:r>
      <w:r>
        <w:rPr>
          <w:b/>
          <w:i w:val="0"/>
        </w:rPr>
        <w:t>not implemented promises</w:t>
      </w:r>
      <w:r>
        <w:rPr>
          <w:b w:val="0"/>
          <w:i w:val="0"/>
        </w:rPr>
        <w:t>. Priorities follow observed privacy, data integrity, and workflow gaps.</w:t>
      </w:r>
    </w:p>
    <w:p>
      <w:pPr>
        <w:pStyle w:val="Heading1"/>
      </w:pPr>
      <w:r>
        <w:t>1 Product direction</w:t>
      </w:r>
    </w:p>
    <w:p>
      <w:r>
        <w:rPr>
          <w:b w:val="0"/>
          <w:i w:val="0"/>
        </w:rPr>
        <w:t>Keep the core product focused on a local personal workspace: capture, retrieve, act, and recover. Reliability should precede new integrations or AI features. Notes, tasks, and schedules should share context without requiring the user to manage three unrelated systems.</w:t>
      </w:r>
    </w:p>
    <w:p>
      <w:pPr>
        <w:pStyle w:val="Heading1"/>
      </w:pPr>
      <w:r>
        <w:t>2 Milestones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87"/>
        <w:gridCol w:w="3466"/>
        <w:gridCol w:w="3610"/>
        <w:gridCol w:w="1229"/>
      </w:tblGrid>
      <w:tr>
        <w:trPr>
          <w:cantSplit/>
          <w:tblHeader/>
        </w:trPr>
        <w:tc>
          <w:tcPr>
            <w:tcW w:type="dxa" w:w="148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293C4A"/>
          </w:tcPr>
          <w:p>
            <w:pPr>
              <w:keepNext/>
              <w:spacing w:after="80" w:line="254" w:lineRule="auto"/>
              <w:jc w:val="center"/>
            </w:pPr>
            <w:r>
              <w:rPr>
                <w:b/>
                <w:i w:val="0"/>
                <w:color w:val="FFFFFF"/>
                <w:sz w:val="18"/>
              </w:rPr>
              <w:t>Milestone</w:t>
            </w:r>
          </w:p>
        </w:tc>
        <w:tc>
          <w:tcPr>
            <w:tcW w:type="dxa" w:w="346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293C4A"/>
          </w:tcPr>
          <w:p>
            <w:pPr>
              <w:keepNext/>
              <w:spacing w:after="80" w:line="254" w:lineRule="auto"/>
              <w:jc w:val="center"/>
            </w:pPr>
            <w:r>
              <w:rPr>
                <w:b/>
                <w:i w:val="0"/>
                <w:color w:val="FFFFFF"/>
                <w:sz w:val="18"/>
              </w:rPr>
              <w:t>Scope</w:t>
            </w:r>
          </w:p>
        </w:tc>
        <w:tc>
          <w:tcPr>
            <w:tcW w:type="dxa" w:w="361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293C4A"/>
          </w:tcPr>
          <w:p>
            <w:pPr>
              <w:keepNext/>
              <w:spacing w:after="80" w:line="254" w:lineRule="auto"/>
            </w:pPr>
            <w:r>
              <w:rPr>
                <w:b/>
                <w:i w:val="0"/>
                <w:color w:val="FFFFFF"/>
                <w:sz w:val="18"/>
              </w:rPr>
              <w:t>Exit criteria</w:t>
            </w:r>
          </w:p>
        </w:tc>
        <w:tc>
          <w:tcPr>
            <w:tcW w:type="dxa" w:w="122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293C4A"/>
          </w:tcPr>
          <w:p>
            <w:pPr>
              <w:keepNext/>
              <w:spacing w:after="80" w:line="254" w:lineRule="auto"/>
            </w:pPr>
            <w:r>
              <w:rPr>
                <w:b/>
                <w:i w:val="0"/>
                <w:color w:val="FFFFFF"/>
                <w:sz w:val="18"/>
              </w:rPr>
              <w:t>Dependencies</w:t>
            </w:r>
          </w:p>
        </w:tc>
      </w:tr>
      <w:tr>
        <w:trPr>
          <w:cantSplit/>
        </w:trPr>
        <w:tc>
          <w:tcPr>
            <w:tcW w:type="dxa" w:w="148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M0 · Reproducible baseline</w:t>
            </w:r>
          </w:p>
        </w:tc>
        <w:tc>
          <w:tcPr>
            <w:tcW w:type="dxa" w:w="346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SDK/toolchain policy, lockfile, build instructions, repair test fixture, resolve analyzer warnings</w:t>
            </w:r>
          </w:p>
        </w:tc>
        <w:tc>
          <w:tcPr>
            <w:tcW w:type="dxa" w:w="361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Clean checkout resolves; Android debug builds; existing smoke test passes; CI reports analyzer/test status</w:t>
            </w:r>
          </w:p>
        </w:tc>
        <w:tc>
          <w:tcPr>
            <w:tcW w:type="dxa" w:w="122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Git repository and pinned toolchain</w:t>
            </w:r>
          </w:p>
        </w:tc>
      </w:tr>
      <w:tr>
        <w:trPr>
          <w:cantSplit/>
        </w:trPr>
        <w:tc>
          <w:tcPr>
            <w:tcW w:type="dxa" w:w="148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M1 · Protect and recover</w:t>
            </w:r>
          </w:p>
        </w:tc>
        <w:tc>
          <w:tcPr>
            <w:tcW w:type="dxa" w:w="346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Shared private access policy, PIN handling, full backup/restore, Undo, durable attachments</w:t>
            </w:r>
          </w:p>
        </w:tc>
        <w:tc>
          <w:tcPr>
            <w:tcW w:type="dxa" w:w="361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Fresh-install restore round-trip succeeds; all locked entry paths gated; delete/Undo survives restart; cache cleanup does not lose media</w:t>
            </w:r>
          </w:p>
        </w:tc>
        <w:tc>
          <w:tcPr>
            <w:tcW w:type="dxa" w:w="122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Test fixtures before persistence changes</w:t>
            </w:r>
          </w:p>
        </w:tc>
      </w:tr>
      <w:tr>
        <w:trPr>
          <w:cantSplit/>
        </w:trPr>
        <w:tc>
          <w:tcPr>
            <w:tcW w:type="dxa" w:w="148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M2 · Reliable productivity</w:t>
            </w:r>
          </w:p>
        </w:tc>
        <w:tc>
          <w:tcPr>
            <w:tcW w:type="dxa" w:w="346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Subtask identity/completion, reminder cancellation/reconciliation, migrations, linked-note deletion policy</w:t>
            </w:r>
          </w:p>
        </w:tc>
        <w:tc>
          <w:tcPr>
            <w:tcW w:type="dxa" w:w="361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Task editing preserves subtasks; completed tasks do not alert; upgrades from each historical schema pass</w:t>
            </w:r>
          </w:p>
        </w:tc>
        <w:tc>
          <w:tcPr>
            <w:tcW w:type="dxa" w:w="122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  <w:jc w:val="center"/>
            </w:pPr>
            <w:r>
              <w:rPr>
                <w:b w:val="0"/>
                <w:i w:val="0"/>
                <w:sz w:val="18"/>
              </w:rPr>
              <w:t>M0, M1</w:t>
            </w:r>
          </w:p>
        </w:tc>
      </w:tr>
      <w:tr>
        <w:trPr>
          <w:cantSplit/>
        </w:trPr>
        <w:tc>
          <w:tcPr>
            <w:tcW w:type="dxa" w:w="148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M3 · Finish existing workflows</w:t>
            </w:r>
          </w:p>
        </w:tc>
        <w:tc>
          <w:tcPr>
            <w:tcW w:type="dxa" w:w="346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Working New schedule action, edit/delete schedule, honest settings, consistent navigation, clear error feedback</w:t>
            </w:r>
          </w:p>
        </w:tc>
        <w:tc>
          <w:tcPr>
            <w:tcW w:type="dxa" w:w="361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Every visible primary action has a working completion or explicit unavailable state; no false success on cancel</w:t>
            </w:r>
          </w:p>
        </w:tc>
        <w:tc>
          <w:tcPr>
            <w:tcW w:type="dxa" w:w="122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  <w:jc w:val="center"/>
            </w:pPr>
            <w:r>
              <w:rPr>
                <w:b w:val="0"/>
                <w:i w:val="0"/>
                <w:sz w:val="18"/>
              </w:rPr>
              <w:t>M2</w:t>
            </w:r>
          </w:p>
        </w:tc>
      </w:tr>
      <w:tr>
        <w:trPr>
          <w:cantSplit/>
        </w:trPr>
        <w:tc>
          <w:tcPr>
            <w:tcW w:type="dxa" w:w="148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M4 · Inclusive and measured UX</w:t>
            </w:r>
          </w:p>
        </w:tc>
        <w:tc>
          <w:tcPr>
            <w:tcW w:type="dxa" w:w="346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Application translations, TalkBack labels/order, large text, contrast, reduced motion, profile-mode measurements</w:t>
            </w:r>
          </w:p>
        </w:tc>
        <w:tc>
          <w:tcPr>
            <w:tcW w:type="dxa" w:w="361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Documented accessibility matrix and performance results on emulator plus physical Android</w:t>
            </w:r>
          </w:p>
        </w:tc>
        <w:tc>
          <w:tcPr>
            <w:tcW w:type="dxa" w:w="122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Stable workflows</w:t>
            </w:r>
          </w:p>
        </w:tc>
      </w:tr>
      <w:tr>
        <w:trPr>
          <w:cantSplit/>
        </w:trPr>
        <w:tc>
          <w:tcPr>
            <w:tcW w:type="dxa" w:w="148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M5 · Release preparation</w:t>
            </w:r>
          </w:p>
        </w:tc>
        <w:tc>
          <w:tcPr>
            <w:tcW w:type="dxa" w:w="346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Branding, final app ID, release signing, privacy statement, dependency license review, store assets</w:t>
            </w:r>
          </w:p>
        </w:tc>
        <w:tc>
          <w:tcPr>
            <w:tcW w:type="dxa" w:w="361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Signed release build installed and tested; release checklist complete; recovery instructions published</w:t>
            </w:r>
          </w:p>
        </w:tc>
        <w:tc>
          <w:tcPr>
            <w:tcW w:type="dxa" w:w="122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  <w:jc w:val="center"/>
            </w:pPr>
            <w:r>
              <w:rPr>
                <w:b w:val="0"/>
                <w:i w:val="0"/>
                <w:sz w:val="18"/>
              </w:rPr>
              <w:t>M1–M4</w:t>
            </w:r>
          </w:p>
        </w:tc>
      </w:tr>
    </w:tbl>
    <w:p>
      <w:pPr>
        <w:spacing w:after="20"/>
      </w:pPr>
    </w:p>
    <w:p>
      <w:r>
        <w:rPr>
          <w:b w:val="0"/>
          <w:i w:val="0"/>
        </w:rPr>
        <w:t>No calendar dates or effort estimates are assigned without delivery capacity and acceptance of scope. These are ordered milestones, not commitments.</w:t>
      </w:r>
    </w:p>
    <w:p>
      <w:pPr>
        <w:pStyle w:val="Heading1"/>
      </w:pPr>
      <w:r>
        <w:t>3 Acceptance scenarios</w:t>
      </w:r>
    </w:p>
    <w:p>
      <w:pPr>
        <w:pStyle w:val="Heading2"/>
      </w:pPr>
      <w:r>
        <w:t>Recovery and data safety</w:t>
      </w:r>
    </w:p>
    <w:p>
      <w:pPr>
        <w:pStyle w:val="ListBullet"/>
        <w:ind w:left="317"/>
      </w:pPr>
      <w:r>
        <w:rPr>
          <w:b w:val="0"/>
          <w:i w:val="0"/>
        </w:rPr>
        <w:t>Full backup includes notes, attachments, tasks, subtasks, schedules, reminders, labels, preferences, and a versioned manifest.</w:t>
      </w:r>
    </w:p>
    <w:p>
      <w:pPr>
        <w:pStyle w:val="ListBullet"/>
        <w:ind w:left="317"/>
      </w:pPr>
      <w:r>
        <w:rPr>
          <w:b w:val="0"/>
          <w:i w:val="0"/>
        </w:rPr>
        <w:t>Import supports empty installation, existing records, collisions, malformed archives, missing media, and rollback.</w:t>
      </w:r>
    </w:p>
    <w:p>
      <w:pPr>
        <w:pStyle w:val="ListBullet"/>
        <w:ind w:left="317"/>
      </w:pPr>
      <w:r>
        <w:rPr>
          <w:b w:val="0"/>
          <w:i w:val="0"/>
        </w:rPr>
        <w:t>Note IDs are deliberately preserved or remapped with all references updated.</w:t>
      </w:r>
    </w:p>
    <w:p>
      <w:pPr>
        <w:pStyle w:val="ListBullet"/>
        <w:ind w:left="317"/>
      </w:pPr>
      <w:r>
        <w:rPr>
          <w:b w:val="0"/>
          <w:i w:val="0"/>
        </w:rPr>
        <w:t>The app tells the user exactly what was imported and what failed.</w:t>
      </w:r>
    </w:p>
    <w:p>
      <w:pPr>
        <w:pStyle w:val="ListBullet"/>
        <w:ind w:left="317"/>
      </w:pPr>
      <w:r>
        <w:rPr>
          <w:b w:val="0"/>
          <w:i w:val="0"/>
        </w:rPr>
        <w:t>Deletion policy covers linked tasks/schedules and associated reminder/file cleanup.</w:t>
      </w:r>
    </w:p>
    <w:p>
      <w:pPr>
        <w:pStyle w:val="Heading2"/>
      </w:pPr>
      <w:r>
        <w:t>Private content</w:t>
      </w:r>
    </w:p>
    <w:p>
      <w:pPr>
        <w:pStyle w:val="ListBullet"/>
        <w:ind w:left="317"/>
      </w:pPr>
      <w:r>
        <w:rPr>
          <w:b w:val="0"/>
          <w:i w:val="0"/>
        </w:rPr>
        <w:t>Every preview, editor, attachment, export, notification, and linked-note path applies one authorization policy.</w:t>
      </w:r>
    </w:p>
    <w:p>
      <w:pPr>
        <w:pStyle w:val="ListBullet"/>
        <w:ind w:left="317"/>
      </w:pPr>
      <w:r>
        <w:rPr>
          <w:b w:val="0"/>
          <w:i w:val="0"/>
        </w:rPr>
        <w:t>Vault session expires at the documented timeout and relocks on the intended lifecycle events.</w:t>
      </w:r>
    </w:p>
    <w:p>
      <w:pPr>
        <w:pStyle w:val="ListBullet"/>
        <w:ind w:left="317"/>
      </w:pPr>
      <w:r>
        <w:rPr>
          <w:b w:val="0"/>
          <w:i w:val="0"/>
        </w:rPr>
        <w:t>PIN setup validates length and numeric content; failed attempts are throttled.</w:t>
      </w:r>
    </w:p>
    <w:p>
      <w:pPr>
        <w:pStyle w:val="ListBullet"/>
        <w:ind w:left="317"/>
      </w:pPr>
      <w:r>
        <w:rPr>
          <w:b w:val="0"/>
          <w:i w:val="0"/>
        </w:rPr>
        <w:t>Ordinary local storage is not marketed as encrypted unless encryption and key recovery are implemented and verified.</w:t>
      </w:r>
    </w:p>
    <w:p>
      <w:pPr>
        <w:pStyle w:val="ListBullet"/>
        <w:ind w:left="317"/>
      </w:pPr>
      <w:r>
        <w:rPr>
          <w:b w:val="0"/>
          <w:i w:val="0"/>
        </w:rPr>
        <w:t>Background/task-switcher previews follow the chosen privacy policy.</w:t>
      </w:r>
    </w:p>
    <w:p>
      <w:pPr>
        <w:pStyle w:val="Heading2"/>
      </w:pPr>
      <w:r>
        <w:t>Tasks and reminders</w:t>
      </w:r>
    </w:p>
    <w:p>
      <w:pPr>
        <w:pStyle w:val="ListBullet"/>
        <w:ind w:left="317"/>
      </w:pPr>
      <w:r>
        <w:rPr>
          <w:b w:val="0"/>
          <w:i w:val="0"/>
        </w:rPr>
        <w:t>Editing a task title does not reset completed subtasks.</w:t>
      </w:r>
    </w:p>
    <w:p>
      <w:pPr>
        <w:pStyle w:val="ListBullet"/>
        <w:ind w:left="317"/>
      </w:pPr>
      <w:r>
        <w:rPr>
          <w:b w:val="0"/>
          <w:i w:val="0"/>
        </w:rPr>
        <w:t>Removing the final subtask is durable.</w:t>
      </w:r>
    </w:p>
    <w:p>
      <w:pPr>
        <w:pStyle w:val="ListBullet"/>
        <w:ind w:left="317"/>
      </w:pPr>
      <w:r>
        <w:rPr>
          <w:b w:val="0"/>
          <w:i w:val="0"/>
        </w:rPr>
        <w:t>Completing/deleting a task cancels relevant reminders; reopening has a defined policy.</w:t>
      </w:r>
    </w:p>
    <w:p>
      <w:pPr>
        <w:pStyle w:val="ListBullet"/>
        <w:ind w:left="317"/>
      </w:pPr>
      <w:r>
        <w:rPr>
          <w:b w:val="0"/>
          <w:i w:val="0"/>
        </w:rPr>
        <w:t>Foreground alerts, background notifications, snooze, permissions, reboot, and cold launch all have tests.</w:t>
      </w:r>
    </w:p>
    <w:p>
      <w:pPr>
        <w:pStyle w:val="ListBullet"/>
        <w:ind w:left="317"/>
      </w:pPr>
      <w:r>
        <w:rPr>
          <w:b w:val="0"/>
          <w:i w:val="0"/>
        </w:rPr>
        <w:t>Reminder horizons and overdue reminders are handled explicitly.</w:t>
      </w:r>
    </w:p>
    <w:p>
      <w:pPr>
        <w:pStyle w:val="Heading2"/>
      </w:pPr>
      <w:r>
        <w:t>Schedule</w:t>
      </w:r>
    </w:p>
    <w:p>
      <w:pPr>
        <w:pStyle w:val="ListBullet"/>
        <w:ind w:left="317"/>
      </w:pPr>
      <w:r>
        <w:rPr>
          <w:b w:val="0"/>
          <w:i w:val="0"/>
        </w:rPr>
        <w:t>New schedule uses the same creation logic as timeline quick-add.</w:t>
      </w:r>
    </w:p>
    <w:p>
      <w:pPr>
        <w:pStyle w:val="ListBullet"/>
        <w:ind w:left="317"/>
      </w:pPr>
      <w:r>
        <w:rPr>
          <w:b w:val="0"/>
          <w:i w:val="0"/>
        </w:rPr>
        <w:t>Title, dates, duration, all-day state, and location have validation and edit/delete affordances.</w:t>
      </w:r>
    </w:p>
    <w:p>
      <w:pPr>
        <w:pStyle w:val="ListBullet"/>
        <w:ind w:left="317"/>
      </w:pPr>
      <w:r>
        <w:rPr>
          <w:b w:val="0"/>
          <w:i w:val="0"/>
        </w:rPr>
        <w:t>Drag/resize has accessible button or form alternatives.</w:t>
      </w:r>
    </w:p>
    <w:p>
      <w:pPr>
        <w:pStyle w:val="ListBullet"/>
        <w:ind w:left="317"/>
      </w:pPr>
      <w:r>
        <w:rPr>
          <w:b w:val="0"/>
          <w:i w:val="0"/>
        </w:rPr>
        <w:t>Multi-day and all-day events work across time zones and daylight-saving boundaries.</w:t>
      </w:r>
    </w:p>
    <w:p>
      <w:pPr>
        <w:pStyle w:val="ListBullet"/>
        <w:ind w:left="317"/>
      </w:pPr>
      <w:r>
        <w:rPr>
          <w:b w:val="0"/>
          <w:i w:val="0"/>
        </w:rPr>
        <w:t>Recurrence is advertised only after an occurrence engine, editing rules, and cancellation semantics exist.</w:t>
      </w:r>
    </w:p>
    <w:p>
      <w:pPr>
        <w:pStyle w:val="Heading1"/>
      </w:pPr>
      <w:r>
        <w:t>4 Architectural work worth doing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73"/>
        <w:gridCol w:w="3103"/>
        <w:gridCol w:w="4216"/>
      </w:tblGrid>
      <w:tr>
        <w:trPr>
          <w:cantSplit/>
          <w:tblHeader/>
        </w:trPr>
        <w:tc>
          <w:tcPr>
            <w:tcW w:type="dxa" w:w="2473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293C4A"/>
          </w:tcPr>
          <w:p>
            <w:pPr>
              <w:keepNext/>
              <w:spacing w:after="80" w:line="254" w:lineRule="auto"/>
              <w:jc w:val="center"/>
            </w:pPr>
            <w:r>
              <w:rPr>
                <w:b/>
                <w:i w:val="0"/>
                <w:color w:val="FFFFFF"/>
                <w:sz w:val="18"/>
              </w:rPr>
              <w:t>Improvement</w:t>
            </w:r>
          </w:p>
        </w:tc>
        <w:tc>
          <w:tcPr>
            <w:tcW w:type="dxa" w:w="3103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293C4A"/>
          </w:tcPr>
          <w:p>
            <w:pPr>
              <w:keepNext/>
              <w:spacing w:after="80" w:line="254" w:lineRule="auto"/>
              <w:jc w:val="center"/>
            </w:pPr>
            <w:r>
              <w:rPr>
                <w:b/>
                <w:i w:val="0"/>
                <w:color w:val="FFFFFF"/>
                <w:sz w:val="18"/>
              </w:rPr>
              <w:t>Reason</w:t>
            </w:r>
          </w:p>
        </w:tc>
        <w:tc>
          <w:tcPr>
            <w:tcW w:type="dxa" w:w="421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293C4A"/>
          </w:tcPr>
          <w:p>
            <w:pPr>
              <w:keepNext/>
              <w:spacing w:after="80" w:line="254" w:lineRule="auto"/>
            </w:pPr>
            <w:r>
              <w:rPr>
                <w:b/>
                <w:i w:val="0"/>
                <w:color w:val="FFFFFF"/>
                <w:sz w:val="18"/>
              </w:rPr>
              <w:t>Keep it bounded</w:t>
            </w:r>
          </w:p>
        </w:tc>
      </w:tr>
      <w:tr>
        <w:trPr>
          <w:cantSplit/>
        </w:trPr>
        <w:tc>
          <w:tcPr>
            <w:tcW w:type="dxa" w:w="2473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One locked-content policy</w:t>
            </w:r>
          </w:p>
        </w:tc>
        <w:tc>
          <w:tcPr>
            <w:tcW w:type="dxa" w:w="3103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Current boolean bypasses are unsafe</w:t>
            </w:r>
          </w:p>
        </w:tc>
        <w:tc>
          <w:tcPr>
            <w:tcW w:type="dxa" w:w="421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Start with one shared authorization API and entry-path tests</w:t>
            </w:r>
          </w:p>
        </w:tc>
      </w:tr>
      <w:tr>
        <w:trPr>
          <w:cantSplit/>
        </w:trPr>
        <w:tc>
          <w:tcPr>
            <w:tcW w:type="dxa" w:w="2473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Versioned backup schema</w:t>
            </w:r>
          </w:p>
        </w:tc>
        <w:tc>
          <w:tcPr>
            <w:tcW w:type="dxa" w:w="3103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Current ZIP variants are inconsistent</w:t>
            </w:r>
          </w:p>
        </w:tc>
        <w:tc>
          <w:tcPr>
            <w:tcW w:type="dxa" w:w="421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Define a manifest and import result; avoid a general sync engine</w:t>
            </w:r>
          </w:p>
        </w:tc>
      </w:tr>
      <w:tr>
        <w:trPr>
          <w:cantSplit/>
        </w:trPr>
        <w:tc>
          <w:tcPr>
            <w:tcW w:type="dxa" w:w="2473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Owned media storage</w:t>
            </w:r>
          </w:p>
        </w:tc>
        <w:tc>
          <w:tcPr>
            <w:tcW w:type="dxa" w:w="3103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Picker paths may expire</w:t>
            </w:r>
          </w:p>
        </w:tc>
        <w:tc>
          <w:tcPr>
            <w:tcW w:type="dxa" w:w="421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Copy on import with checksums and clear cleanup rules</w:t>
            </w:r>
          </w:p>
        </w:tc>
      </w:tr>
      <w:tr>
        <w:trPr>
          <w:cantSplit/>
        </w:trPr>
        <w:tc>
          <w:tcPr>
            <w:tcW w:type="dxa" w:w="2473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Transactional task edits</w:t>
            </w:r>
          </w:p>
        </w:tc>
        <w:tc>
          <w:tcPr>
            <w:tcW w:type="dxa" w:w="3103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Parent/subtask/reminder writes can diverge</w:t>
            </w:r>
          </w:p>
        </w:tc>
        <w:tc>
          <w:tcPr>
            <w:tcW w:type="dxa" w:w="421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Add transactions and preserve IDs</w:t>
            </w:r>
          </w:p>
        </w:tc>
      </w:tr>
      <w:tr>
        <w:trPr>
          <w:cantSplit/>
        </w:trPr>
        <w:tc>
          <w:tcPr>
            <w:tcW w:type="dxa" w:w="2473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Extract screen orchestration</w:t>
            </w:r>
          </w:p>
        </w:tc>
        <w:tc>
          <w:tcPr>
            <w:tcW w:type="dxa" w:w="3103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Large views mix responsibilities</w:t>
            </w:r>
          </w:p>
        </w:tc>
        <w:tc>
          <w:tcPr>
            <w:tcW w:type="dxa" w:w="421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Extract the tested persistence/export logic first</w:t>
            </w:r>
          </w:p>
        </w:tc>
      </w:tr>
      <w:tr>
        <w:trPr>
          <w:cantSplit/>
        </w:trPr>
        <w:tc>
          <w:tcPr>
            <w:tcW w:type="dxa" w:w="2473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One navigation system</w:t>
            </w:r>
          </w:p>
        </w:tc>
        <w:tc>
          <w:tcPr>
            <w:tcW w:type="dxa" w:w="3103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Router and drawer variants drift</w:t>
            </w:r>
          </w:p>
        </w:tc>
        <w:tc>
          <w:tcPr>
            <w:tcW w:type="dxa" w:w="421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Keep current routes working while removing inactive alternatives</w:t>
            </w:r>
          </w:p>
        </w:tc>
      </w:tr>
      <w:tr>
        <w:trPr>
          <w:cantSplit/>
        </w:trPr>
        <w:tc>
          <w:tcPr>
            <w:tcW w:type="dxa" w:w="2473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Search scaling</w:t>
            </w:r>
          </w:p>
        </w:tc>
        <w:tc>
          <w:tcPr>
            <w:tcW w:type="dxa" w:w="3103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Full collections are loaded</w:t>
            </w:r>
          </w:p>
        </w:tc>
        <w:tc>
          <w:tcPr>
            <w:tcW w:type="dxa" w:w="421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Measure before introducing FTS/paging</w:t>
            </w:r>
          </w:p>
        </w:tc>
      </w:tr>
    </w:tbl>
    <w:p>
      <w:pPr>
        <w:spacing w:after="20"/>
      </w:pPr>
    </w:p>
    <w:p>
      <w:r>
        <w:rPr>
          <w:b w:val="0"/>
          <w:i w:val="0"/>
        </w:rPr>
        <w:t>Database consolidation is an option, not a prerequisite for every fix. A merge should happen only with tested migrations and a recovery plan.</w:t>
      </w:r>
    </w:p>
    <w:p>
      <w:pPr>
        <w:pStyle w:val="Heading1"/>
      </w:pPr>
      <w:r>
        <w:t>5 Later opportunities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07"/>
        <w:gridCol w:w="2624"/>
        <w:gridCol w:w="4561"/>
      </w:tblGrid>
      <w:tr>
        <w:trPr>
          <w:cantSplit/>
          <w:tblHeader/>
        </w:trPr>
        <w:tc>
          <w:tcPr>
            <w:tcW w:type="dxa" w:w="260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293C4A"/>
          </w:tcPr>
          <w:p>
            <w:pPr>
              <w:keepNext/>
              <w:spacing w:after="80" w:line="254" w:lineRule="auto"/>
              <w:jc w:val="center"/>
            </w:pPr>
            <w:r>
              <w:rPr>
                <w:b/>
                <w:i w:val="0"/>
                <w:color w:val="FFFFFF"/>
                <w:sz w:val="18"/>
              </w:rPr>
              <w:t>Opportunity</w:t>
            </w:r>
          </w:p>
        </w:tc>
        <w:tc>
          <w:tcPr>
            <w:tcW w:type="dxa" w:w="262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293C4A"/>
          </w:tcPr>
          <w:p>
            <w:pPr>
              <w:keepNext/>
              <w:spacing w:after="80" w:line="254" w:lineRule="auto"/>
              <w:jc w:val="center"/>
            </w:pPr>
            <w:r>
              <w:rPr>
                <w:b/>
                <w:i w:val="0"/>
                <w:color w:val="FFFFFF"/>
                <w:sz w:val="18"/>
              </w:rPr>
              <w:t>User value</w:t>
            </w:r>
          </w:p>
        </w:tc>
        <w:tc>
          <w:tcPr>
            <w:tcW w:type="dxa" w:w="456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293C4A"/>
          </w:tcPr>
          <w:p>
            <w:pPr>
              <w:keepNext/>
              <w:spacing w:after="80" w:line="254" w:lineRule="auto"/>
            </w:pPr>
            <w:r>
              <w:rPr>
                <w:b/>
                <w:i w:val="0"/>
                <w:color w:val="FFFFFF"/>
                <w:sz w:val="18"/>
              </w:rPr>
              <w:t>Prerequisite / boundary</w:t>
            </w:r>
          </w:p>
        </w:tc>
      </w:tr>
      <w:tr>
        <w:trPr>
          <w:cantSplit/>
        </w:trPr>
        <w:tc>
          <w:tcPr>
            <w:tcW w:type="dxa" w:w="260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Recurring tasks and schedules</w:t>
            </w:r>
          </w:p>
        </w:tc>
        <w:tc>
          <w:tcPr>
            <w:tcW w:type="dxa" w:w="262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Reduce repeated entry</w:t>
            </w:r>
          </w:p>
        </w:tc>
        <w:tc>
          <w:tcPr>
            <w:tcW w:type="dxa" w:w="456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Occurrence model, time-zone policy, edit-series behavior</w:t>
            </w:r>
          </w:p>
        </w:tc>
      </w:tr>
      <w:tr>
        <w:trPr>
          <w:cantSplit/>
        </w:trPr>
        <w:tc>
          <w:tcPr>
            <w:tcW w:type="dxa" w:w="260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Version history / trash</w:t>
            </w:r>
          </w:p>
        </w:tc>
        <w:tc>
          <w:tcPr>
            <w:tcW w:type="dxa" w:w="262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Recover accidental edits and deletion</w:t>
            </w:r>
          </w:p>
        </w:tc>
        <w:tc>
          <w:tcPr>
            <w:tcW w:type="dxa" w:w="456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Stable IDs and storage retention policy</w:t>
            </w:r>
          </w:p>
        </w:tc>
      </w:tr>
      <w:tr>
        <w:trPr>
          <w:cantSplit/>
        </w:trPr>
        <w:tc>
          <w:tcPr>
            <w:tcW w:type="dxa" w:w="260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Full-text and attachment search</w:t>
            </w:r>
          </w:p>
        </w:tc>
        <w:tc>
          <w:tcPr>
            <w:tcW w:type="dxa" w:w="262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Faster retrieval at scale</w:t>
            </w:r>
          </w:p>
        </w:tc>
        <w:tc>
          <w:tcPr>
            <w:tcW w:type="dxa" w:w="456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Indexed metadata and supported document extraction</w:t>
            </w:r>
          </w:p>
        </w:tc>
      </w:tr>
      <w:tr>
        <w:trPr>
          <w:cantSplit/>
        </w:trPr>
        <w:tc>
          <w:tcPr>
            <w:tcW w:type="dxa" w:w="260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Optional encrypted sync</w:t>
            </w:r>
          </w:p>
        </w:tc>
        <w:tc>
          <w:tcPr>
            <w:tcW w:type="dxa" w:w="262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Multi-device access</w:t>
            </w:r>
          </w:p>
        </w:tc>
        <w:tc>
          <w:tcPr>
            <w:tcW w:type="dxa" w:w="456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Account, encryption/key recovery, conflict model, offline reconciliation</w:t>
            </w:r>
          </w:p>
        </w:tc>
      </w:tr>
      <w:tr>
        <w:trPr>
          <w:cantSplit/>
        </w:trPr>
        <w:tc>
          <w:tcPr>
            <w:tcW w:type="dxa" w:w="260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Calendar integration</w:t>
            </w:r>
          </w:p>
        </w:tc>
        <w:tc>
          <w:tcPr>
            <w:tcW w:type="dxa" w:w="262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Avoid duplicate planning</w:t>
            </w:r>
          </w:p>
        </w:tc>
        <w:tc>
          <w:tcPr>
            <w:tcW w:type="dxa" w:w="456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Explicit provider permissions, mapping, conflict handling</w:t>
            </w:r>
          </w:p>
        </w:tc>
      </w:tr>
      <w:tr>
        <w:trPr>
          <w:cantSplit/>
        </w:trPr>
        <w:tc>
          <w:tcPr>
            <w:tcW w:type="dxa" w:w="260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Widgets and quick capture</w:t>
            </w:r>
          </w:p>
        </w:tc>
        <w:tc>
          <w:tcPr>
            <w:tcW w:type="dxa" w:w="262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Lower capture friction</w:t>
            </w:r>
          </w:p>
        </w:tc>
        <w:tc>
          <w:tcPr>
            <w:tcW w:type="dxa" w:w="456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Stable capture API and background/platform testing</w:t>
            </w:r>
          </w:p>
        </w:tc>
      </w:tr>
      <w:tr>
        <w:trPr>
          <w:cantSplit/>
        </w:trPr>
        <w:tc>
          <w:tcPr>
            <w:tcW w:type="dxa" w:w="260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Voice transcription</w:t>
            </w:r>
          </w:p>
        </w:tc>
        <w:tc>
          <w:tcPr>
            <w:tcW w:type="dxa" w:w="262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Searchable spoken ideas</w:t>
            </w:r>
          </w:p>
        </w:tc>
        <w:tc>
          <w:tcPr>
            <w:tcW w:type="dxa" w:w="456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Clear privacy/processing choice; current Voice selector is a placeholder</w:t>
            </w:r>
          </w:p>
        </w:tc>
      </w:tr>
      <w:tr>
        <w:trPr>
          <w:cantSplit/>
        </w:trPr>
        <w:tc>
          <w:tcPr>
            <w:tcW w:type="dxa" w:w="260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AI summaries or retrieval</w:t>
            </w:r>
          </w:p>
        </w:tc>
        <w:tc>
          <w:tcPr>
            <w:tcW w:type="dxa" w:w="262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Help connect existing notes</w:t>
            </w:r>
          </w:p>
        </w:tc>
        <w:tc>
          <w:tcPr>
            <w:tcW w:type="dxa" w:w="456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Explicit data boundaries, measurable quality, cost and consent model</w:t>
            </w:r>
          </w:p>
        </w:tc>
      </w:tr>
    </w:tbl>
    <w:p>
      <w:pPr>
        <w:spacing w:after="20"/>
      </w:pPr>
    </w:p>
    <w:p>
      <w:pPr>
        <w:pStyle w:val="Heading1"/>
      </w:pPr>
      <w:r>
        <w:t>6 What to avoid expanding yet</w:t>
      </w:r>
    </w:p>
    <w:p>
      <w:r>
        <w:rPr>
          <w:b w:val="0"/>
          <w:i w:val="0"/>
        </w:rPr>
        <w:t>Do not add a second cloud backend, multiple state-management libraries, or a generalized plugin system to solve current reliability problems. Do not use GitHub as the app's private-user-data backup mechanism. Git history protects source revisions; the app needs its own verified data backup.</w:t>
      </w:r>
    </w:p>
    <w:p>
      <w:pPr>
        <w:pStyle w:val="Heading1"/>
      </w:pPr>
      <w:r>
        <w:t>7 Readiness dashboard</w:t>
      </w:r>
    </w:p>
    <w:p>
      <w:r>
        <w:rPr>
          <w:b w:val="0"/>
          <w:i w:val="0"/>
        </w:rPr>
        <w:t>Use concrete gates rather than an invented percentage:</w:t>
      </w:r>
    </w:p>
    <w:p>
      <w:pPr>
        <w:pStyle w:val="ListBullet"/>
        <w:ind w:left="317"/>
      </w:pPr>
      <w:r>
        <w:rPr>
          <w:b w:val="0"/>
          <w:i w:val="0"/>
        </w:rPr>
        <w:t xml:space="preserve"> Fresh checkout builds with the documented SDK.</w:t>
      </w:r>
    </w:p>
    <w:p>
      <w:pPr>
        <w:pStyle w:val="ListBullet"/>
        <w:ind w:left="317"/>
      </w:pPr>
      <w:r>
        <w:rPr>
          <w:b w:val="0"/>
          <w:i w:val="0"/>
        </w:rPr>
        <w:t xml:space="preserve"> Analyzer and meaningful tests pass.</w:t>
      </w:r>
    </w:p>
    <w:p>
      <w:pPr>
        <w:pStyle w:val="ListBullet"/>
        <w:ind w:left="317"/>
      </w:pPr>
      <w:r>
        <w:rPr>
          <w:b w:val="0"/>
          <w:i w:val="0"/>
        </w:rPr>
        <w:t xml:space="preserve"> Backup restores to a clean installation.</w:t>
      </w:r>
    </w:p>
    <w:p>
      <w:pPr>
        <w:pStyle w:val="ListBullet"/>
        <w:ind w:left="317"/>
      </w:pPr>
      <w:r>
        <w:rPr>
          <w:b w:val="0"/>
          <w:i w:val="0"/>
        </w:rPr>
        <w:t xml:space="preserve"> Locked-content entry-path matrix passes.</w:t>
      </w:r>
    </w:p>
    <w:p>
      <w:pPr>
        <w:pStyle w:val="ListBullet"/>
        <w:ind w:left="317"/>
      </w:pPr>
      <w:r>
        <w:rPr>
          <w:b w:val="0"/>
          <w:i w:val="0"/>
        </w:rPr>
        <w:t xml:space="preserve"> Undo, subtasks, and reminders preserve user intent.</w:t>
      </w:r>
    </w:p>
    <w:p>
      <w:pPr>
        <w:pStyle w:val="ListBullet"/>
        <w:ind w:left="317"/>
      </w:pPr>
      <w:r>
        <w:rPr>
          <w:b w:val="0"/>
          <w:i w:val="0"/>
        </w:rPr>
        <w:t xml:space="preserve"> Database upgrades are fixture-tested.</w:t>
      </w:r>
    </w:p>
    <w:p>
      <w:pPr>
        <w:pStyle w:val="ListBullet"/>
        <w:ind w:left="317"/>
      </w:pPr>
      <w:r>
        <w:rPr>
          <w:b w:val="0"/>
          <w:i w:val="0"/>
        </w:rPr>
        <w:t xml:space="preserve"> Primary schedule and settings actions are complete.</w:t>
      </w:r>
    </w:p>
    <w:p>
      <w:pPr>
        <w:pStyle w:val="ListBullet"/>
        <w:ind w:left="317"/>
      </w:pPr>
      <w:r>
        <w:rPr>
          <w:b w:val="0"/>
          <w:i w:val="0"/>
        </w:rPr>
        <w:t xml:space="preserve"> TalkBack, large text, and physical device testing are recorded.</w:t>
      </w:r>
    </w:p>
    <w:p>
      <w:pPr>
        <w:pStyle w:val="ListBullet"/>
        <w:ind w:left="317"/>
      </w:pPr>
      <w:r>
        <w:rPr>
          <w:b w:val="0"/>
          <w:i w:val="0"/>
        </w:rPr>
        <w:t xml:space="preserve"> Signed release build and publication metadata are reviewed.</w:t>
      </w:r>
    </w:p>
    <w:p>
      <w:r>
        <w:rPr>
          <w:b w:val="0"/>
          <w:i w:val="0"/>
        </w:rPr>
        <w:t xml:space="preserve">Related: </w:t>
      </w:r>
      <w:hyperlink r:id="rId12">
        <w:r>
          <w:rPr>
            <w:color w:val="185A83"/>
          </w:rPr>
          <w:t xml:space="preserve">findings</w:t>
        </w:r>
      </w:hyperlink>
      <w:r>
        <w:rPr>
          <w:b w:val="0"/>
          <w:i w:val="0"/>
        </w:rPr>
        <w:t xml:space="preserve"> · </w:t>
      </w:r>
      <w:hyperlink r:id="rId13">
        <w:r>
          <w:rPr>
            <w:color w:val="185A83"/>
          </w:rPr>
          <w:t xml:space="preserve">feature status</w:t>
        </w:r>
      </w:hyperlink>
      <w:r>
        <w:rPr>
          <w:b w:val="0"/>
          <w:i w:val="0"/>
        </w:rPr>
        <w:t xml:space="preserve"> · </w:t>
      </w:r>
      <w:hyperlink r:id="rId14">
        <w:r>
          <w:rPr>
            <w:color w:val="185A83"/>
          </w:rPr>
          <w:t xml:space="preserve">GitHub plan</w:t>
        </w:r>
      </w:hyperlink>
      <w:r>
        <w:rPr>
          <w:b w:val="0"/>
          <w:i w:val="0"/>
        </w:rPr>
        <w:t>.</w:t>
      </w:r>
    </w:p>
    <w:sectPr w:rsidR="00FC693F" w:rsidRPr="0006063C" w:rsidSect="00034616">
      <w:headerReference w:type="default" r:id="rId9"/>
      <w:footerReference w:type="default" r:id="rId10"/>
      <w:pgSz w:w="11952" w:h="16848"/>
      <w:pgMar w:top="1008" w:right="1080" w:bottom="1008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Noteable  |  Application review collection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6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widowControl w:val="0"/>
      <w:spacing w:after="0" w:line="240" w:lineRule="auto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Xenaquas/Noteable/blob/main/docs/FUTURE_SCOPE.md" TargetMode="External"/><Relationship Id="rId12" Type="http://schemas.openxmlformats.org/officeDocument/2006/relationships/hyperlink" Target="https://github.com/Xenaquas/Noteable/blob/main/docs/APP_FEEDBACK.md" TargetMode="External"/><Relationship Id="rId13" Type="http://schemas.openxmlformats.org/officeDocument/2006/relationships/hyperlink" Target="https://github.com/Xenaquas/Noteable/blob/main/docs/FEATURE_STATUS.md" TargetMode="External"/><Relationship Id="rId14" Type="http://schemas.openxmlformats.org/officeDocument/2006/relationships/hyperlink" Target="https://github.com/Xenaquas/Noteable/blob/main/docs/GITHUB_READINESS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Digital Memory Future Scope and Roadmap</dc:title>
  <dc:subject>Noteable application review collection</dc:subject>
  <dc:creator>Noteable project</dc:creator>
  <cp:keywords>docs/FUTURE_SCOPE.md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