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4C81"/>
          <w:sz w:val="36"/>
        </w:rPr>
        <w:t>LAPORAN IMPLEMENTASI 10 MODUL APLIKASI</w:t>
        <w:br/>
        <w:t>BUNGSU CELL</w:t>
      </w:r>
    </w:p>
    <w:p>
      <w:pPr>
        <w:jc w:val="center"/>
      </w:pPr>
      <w:r>
        <w:rPr>
          <w:rFonts w:ascii="Arial" w:hAnsi="Arial"/>
          <w:i/>
          <w:color w:val="505050"/>
          <w:sz w:val="22"/>
        </w:rPr>
        <w:t>Sistem Operasional Konter &amp; Sistem Pendukung Keputusan (SPK) Pemilihan Smartphone Berbasis SAW</w:t>
      </w:r>
    </w:p>
    <w:p/>
    <w:tbl>
      <w:tblPr>
        <w:tblW w:type="auto" w:w="0"/>
        <w:jc w:val="center"/>
        <w:tblLayout w:type="fixed"/>
        <w:tblLook w:firstColumn="1" w:firstRow="1" w:lastColumn="0" w:lastRow="0" w:noHBand="0" w:noVBand="1" w:val="04A0"/>
      </w:tblPr>
      <w:tblGrid>
        <w:gridCol w:w="4680"/>
        <w:gridCol w:w="4680"/>
      </w:tblGrid>
      <w:tr>
        <w:tc>
          <w:tcPr>
            <w:tcW w:type="dxa" w:w="3168"/>
            <w:shd w:fill="F4F6F9"/>
          </w:tcPr>
          <w:p>
            <w:pPr>
              <w:spacing w:after="40"/>
            </w:pPr>
            <w:r>
              <w:rPr>
                <w:rFonts w:ascii="Arial" w:hAnsi="Arial"/>
                <w:b/>
                <w:sz w:val="20"/>
              </w:rPr>
              <w:t>Nama Proyek</w:t>
            </w:r>
          </w:p>
        </w:tc>
        <w:tc>
          <w:tcPr>
            <w:tcW w:type="dxa" w:w="6192"/>
            <w:shd w:fill="F4F6F9"/>
          </w:tcPr>
          <w:p>
            <w:pPr>
              <w:spacing w:after="40"/>
            </w:pPr>
            <w:r>
              <w:rPr>
                <w:rFonts w:ascii="Arial" w:hAnsi="Arial"/>
                <w:sz w:val="20"/>
              </w:rPr>
              <w:t>: Bungsu Cell (SOT v0.1.0)</w:t>
            </w:r>
          </w:p>
        </w:tc>
      </w:tr>
      <w:tr>
        <w:tc>
          <w:tcPr>
            <w:tcW w:type="dxa" w:w="3168"/>
            <w:shd w:fill="FFFFFF"/>
          </w:tcPr>
          <w:p>
            <w:pPr>
              <w:spacing w:after="40"/>
            </w:pPr>
            <w:r>
              <w:rPr>
                <w:rFonts w:ascii="Arial" w:hAnsi="Arial"/>
                <w:b/>
                <w:sz w:val="20"/>
              </w:rPr>
              <w:t>Tipe Aplikasi</w:t>
            </w:r>
          </w:p>
        </w:tc>
        <w:tc>
          <w:tcPr>
            <w:tcW w:type="dxa" w:w="6192"/>
            <w:shd w:fill="FFFFFF"/>
          </w:tcPr>
          <w:p>
            <w:pPr>
              <w:spacing w:after="40"/>
            </w:pPr>
            <w:r>
              <w:rPr>
                <w:rFonts w:ascii="Arial" w:hAnsi="Arial"/>
                <w:sz w:val="20"/>
              </w:rPr>
              <w:t>: Single Page Application (SPA) Frontend-Only</w:t>
            </w:r>
          </w:p>
        </w:tc>
      </w:tr>
      <w:tr>
        <w:tc>
          <w:tcPr>
            <w:tcW w:type="dxa" w:w="3168"/>
            <w:shd w:fill="F4F6F9"/>
          </w:tcPr>
          <w:p>
            <w:pPr>
              <w:spacing w:after="40"/>
            </w:pPr>
            <w:r>
              <w:rPr>
                <w:rFonts w:ascii="Arial" w:hAnsi="Arial"/>
                <w:b/>
                <w:sz w:val="20"/>
              </w:rPr>
              <w:t>Teknologi</w:t>
            </w:r>
          </w:p>
        </w:tc>
        <w:tc>
          <w:tcPr>
            <w:tcW w:type="dxa" w:w="6192"/>
            <w:shd w:fill="F4F6F9"/>
          </w:tcPr>
          <w:p>
            <w:pPr>
              <w:spacing w:after="40"/>
            </w:pPr>
            <w:r>
              <w:rPr>
                <w:rFonts w:ascii="Arial" w:hAnsi="Arial"/>
                <w:sz w:val="20"/>
              </w:rPr>
              <w:t>: React, TypeScript (Strict), Tailwind CSS, Vite</w:t>
            </w:r>
          </w:p>
        </w:tc>
      </w:tr>
      <w:tr>
        <w:tc>
          <w:tcPr>
            <w:tcW w:type="dxa" w:w="3168"/>
            <w:shd w:fill="FFFFFF"/>
          </w:tcPr>
          <w:p>
            <w:pPr>
              <w:spacing w:after="40"/>
            </w:pPr>
            <w:r>
              <w:rPr>
                <w:rFonts w:ascii="Arial" w:hAnsi="Arial"/>
                <w:b/>
                <w:sz w:val="20"/>
              </w:rPr>
              <w:t>Metode SPK</w:t>
            </w:r>
          </w:p>
        </w:tc>
        <w:tc>
          <w:tcPr>
            <w:tcW w:type="dxa" w:w="6192"/>
            <w:shd w:fill="FFFFFF"/>
          </w:tcPr>
          <w:p>
            <w:pPr>
              <w:spacing w:after="40"/>
            </w:pPr>
            <w:r>
              <w:rPr>
                <w:rFonts w:ascii="Arial" w:hAnsi="Arial"/>
                <w:sz w:val="20"/>
              </w:rPr>
              <w:t>: Simple Additive Weighting (SAW) Multi-Criteria</w:t>
            </w:r>
          </w:p>
        </w:tc>
      </w:tr>
      <w:tr>
        <w:tc>
          <w:tcPr>
            <w:tcW w:type="dxa" w:w="3168"/>
            <w:shd w:fill="F4F6F9"/>
          </w:tcPr>
          <w:p>
            <w:pPr>
              <w:spacing w:after="40"/>
            </w:pPr>
            <w:r>
              <w:rPr>
                <w:rFonts w:ascii="Arial" w:hAnsi="Arial"/>
                <w:b/>
                <w:sz w:val="20"/>
              </w:rPr>
              <w:t>Tanggal Laporan</w:t>
            </w:r>
          </w:p>
        </w:tc>
        <w:tc>
          <w:tcPr>
            <w:tcW w:type="dxa" w:w="6192"/>
            <w:shd w:fill="F4F6F9"/>
          </w:tcPr>
          <w:p>
            <w:pPr>
              <w:spacing w:after="40"/>
            </w:pPr>
            <w:r>
              <w:rPr>
                <w:rFonts w:ascii="Arial" w:hAnsi="Arial"/>
                <w:sz w:val="20"/>
              </w:rPr>
              <w:t>: 29 Oktober 2026</w:t>
            </w:r>
          </w:p>
        </w:tc>
      </w:tr>
    </w:tbl>
    <w:p/>
    <w:p>
      <w:pPr>
        <w:pStyle w:val="Heading1"/>
      </w:pPr>
      <w:r>
        <w:t>1. Ringkasan Eksekutif</w:t>
      </w:r>
    </w:p>
    <w:p>
      <w:pPr>
        <w:spacing w:line="276" w:lineRule="auto"/>
      </w:pPr>
      <w:r>
        <w:t>Bungsu Cell merupakan sistem informasi operasional konter modern yang dirancang untuk mengatasi keterbatasan pencatatan manual, percampuran keuangan kas konter dengan transaksi digital (PPOB), pelacakan servis unit pelanggan, serta memberikan rekomendasi smartphone objektif bagi konsumen melalui Sistem Pendukung Keputusan (SPK) berbasis algoritma Simple Additive Weighting (SAW).</w:t>
      </w:r>
    </w:p>
    <w:p>
      <w:pPr>
        <w:pStyle w:val="Heading1"/>
      </w:pPr>
      <w:r>
        <w:t>2. Rincian &amp; Status 10 Modul Aplikasi</w:t>
      </w:r>
    </w:p>
    <w:p>
      <w:pPr>
        <w:spacing w:line="276" w:lineRule="auto" w:after="80"/>
      </w:pPr>
      <w:r>
        <w:rPr>
          <w:b/>
          <w:color w:val="0F4C81"/>
          <w:sz w:val="22"/>
        </w:rPr>
        <w:t xml:space="preserve">• Modul 1 — Dashboard Operasional </w:t>
      </w:r>
      <w:r>
        <w:rPr>
          <w:b/>
          <w:color w:val="228B22"/>
        </w:rPr>
        <w:t>[Selesai]</w:t>
        <w:br/>
      </w:r>
      <w:r>
        <w:rPr>
          <w:sz w:val="20"/>
        </w:rPr>
        <w:t>Pusat visualisasi performa toko real-time mencakup total pendapatan harian, laba estimasi, total transaksi kasir, unit servis aktif, kartu peringatan stok menipis, grafik tren penjualan 7 hari, dan top 5 produk terlaris.</w:t>
      </w:r>
    </w:p>
    <w:p>
      <w:pPr>
        <w:spacing w:line="276" w:lineRule="auto" w:after="80"/>
      </w:pPr>
      <w:r>
        <w:rPr>
          <w:b/>
          <w:color w:val="0F4C81"/>
          <w:sz w:val="22"/>
        </w:rPr>
        <w:t xml:space="preserve">• Modul 2 — Kasir / Point of Sale (POS) </w:t>
      </w:r>
      <w:r>
        <w:rPr>
          <w:b/>
          <w:color w:val="228B22"/>
        </w:rPr>
        <w:t>[Selesai]</w:t>
        <w:br/>
      </w:r>
      <w:r>
        <w:rPr>
          <w:sz w:val="20"/>
        </w:rPr>
        <w:t>Transaksi kasir cepat dengan pencarian produk, filter kategori, keranjang dinamis, kalkulasi pajak/diskon, verifikasi jumlah pembayaran &amp; kembalian tunai, pemotongan stok otomatis, serta cetak struk nota belanja.</w:t>
      </w:r>
    </w:p>
    <w:p>
      <w:pPr>
        <w:spacing w:line="276" w:lineRule="auto" w:after="80"/>
      </w:pPr>
      <w:r>
        <w:rPr>
          <w:b/>
          <w:color w:val="0F4C81"/>
          <w:sz w:val="22"/>
        </w:rPr>
        <w:t xml:space="preserve">• Modul 3 — Inventaris &amp; Manajemen Stok </w:t>
      </w:r>
      <w:r>
        <w:rPr>
          <w:b/>
          <w:color w:val="228B22"/>
        </w:rPr>
        <w:t>[Selesai]</w:t>
        <w:br/>
      </w:r>
      <w:r>
        <w:rPr>
          <w:sz w:val="20"/>
        </w:rPr>
        <w:t>Pengelolaan katalog barang (aksesori, kartu perdana, unit HP), penanda visual level stok (Aman, Menipis, Habis), fitur restok modal dinamis, filter kategori, dan tombol reset ke data dummy awal.</w:t>
      </w:r>
    </w:p>
    <w:p>
      <w:pPr>
        <w:spacing w:line="276" w:lineRule="auto" w:after="80"/>
      </w:pPr>
      <w:r>
        <w:rPr>
          <w:b/>
          <w:color w:val="0F4C81"/>
          <w:sz w:val="22"/>
        </w:rPr>
        <w:t xml:space="preserve">• Modul 4 — Riwayat Penjualan &amp; Transaksi </w:t>
      </w:r>
      <w:r>
        <w:rPr>
          <w:b/>
          <w:color w:val="228B22"/>
        </w:rPr>
        <w:t>[Selesai]</w:t>
        <w:br/>
      </w:r>
      <w:r>
        <w:rPr>
          <w:sz w:val="20"/>
        </w:rPr>
        <w:t>Log riwayat transaksi lengkap dengan nomor invoice unik, filter rentang tanggal, rincian per item produk, metode pembayaran, serta kalkulasi omzet harian yang transparan.</w:t>
      </w:r>
    </w:p>
    <w:p>
      <w:pPr>
        <w:spacing w:line="276" w:lineRule="auto" w:after="80"/>
      </w:pPr>
      <w:r>
        <w:rPr>
          <w:b/>
          <w:color w:val="0F4C81"/>
          <w:sz w:val="22"/>
        </w:rPr>
        <w:t xml:space="preserve">• Modul 5 — Penerimaan Servis Pelanggan </w:t>
      </w:r>
      <w:r>
        <w:rPr>
          <w:b/>
          <w:color w:val="228B22"/>
        </w:rPr>
        <w:t>[Selesai]</w:t>
        <w:br/>
      </w:r>
      <w:r>
        <w:rPr>
          <w:sz w:val="20"/>
        </w:rPr>
        <w:t>Form intake unit masuk dengan input data pelanggan, keluhan kerusakan, kondisi fisik perangkat, kelengkapan, dan estimasi biaya. Sesuai standar keamanan PRD: tidak menyimpan PIN / pola kunci layar demi privasi pelanggan.</w:t>
      </w:r>
    </w:p>
    <w:p>
      <w:pPr>
        <w:spacing w:line="276" w:lineRule="auto" w:after="80"/>
      </w:pPr>
      <w:r>
        <w:rPr>
          <w:b/>
          <w:color w:val="0F4C81"/>
          <w:sz w:val="22"/>
        </w:rPr>
        <w:t xml:space="preserve">• Modul 6 — Daftar &amp; Manajemen Status Servis </w:t>
      </w:r>
      <w:r>
        <w:rPr>
          <w:b/>
          <w:color w:val="228B22"/>
        </w:rPr>
        <w:t>[Selesai]</w:t>
        <w:br/>
      </w:r>
      <w:r>
        <w:rPr>
          <w:sz w:val="20"/>
        </w:rPr>
        <w:t>Tabel pemantauan servis aktif dan riwayat pengerjaan teknisi. Alur status terkontrol: Penerimaan → Pengecekan Teknisi → Menunggu Sparepart → Pengerjaan → Selesai / Dibatalkan → Unit Diambil.</w:t>
      </w:r>
    </w:p>
    <w:p>
      <w:pPr>
        <w:spacing w:line="276" w:lineRule="auto" w:after="80"/>
      </w:pPr>
      <w:r>
        <w:rPr>
          <w:b/>
          <w:color w:val="0F4C81"/>
          <w:sz w:val="22"/>
        </w:rPr>
        <w:t xml:space="preserve">• Modul 7 — Tracking Servis Pelanggan </w:t>
      </w:r>
      <w:r>
        <w:rPr>
          <w:b/>
          <w:color w:val="228B22"/>
        </w:rPr>
        <w:t>[Selesai]</w:t>
        <w:br/>
      </w:r>
      <w:r>
        <w:rPr>
          <w:sz w:val="20"/>
        </w:rPr>
        <w:t>Halaman pelacakan mandiri bagi pelanggan menggunakan nomor nota servis unik. Menampilkan status terkini pengerjaan, estimasi biaya, catatan teknisi, preview/cetak nota servis browser, dan simulasi link pesan WhatsApp konfirmasi selesai.</w:t>
      </w:r>
    </w:p>
    <w:p>
      <w:pPr>
        <w:spacing w:line="276" w:lineRule="auto" w:after="80"/>
      </w:pPr>
      <w:r>
        <w:rPr>
          <w:b/>
          <w:color w:val="0F4C81"/>
          <w:sz w:val="22"/>
        </w:rPr>
        <w:t xml:space="preserve">• Modul 8 — Keuangan PPOB &amp; Kas Konter </w:t>
      </w:r>
      <w:r>
        <w:rPr>
          <w:b/>
          <w:color w:val="228B22"/>
        </w:rPr>
        <w:t>[Selesai]</w:t>
        <w:br/>
      </w:r>
      <w:r>
        <w:rPr>
          <w:sz w:val="20"/>
        </w:rPr>
        <w:t>Sistem pembukuan ganda yang memisahkan secara ketat perputaran Kas Operasional Konter (laba langsung) dengan Kas Modal Agen PPOB (pulsa, token listrik, transfer). Mencegah modal PPOB terpakai sebagai keuntungan operasional.</w:t>
      </w:r>
    </w:p>
    <w:p>
      <w:pPr>
        <w:spacing w:line="276" w:lineRule="auto" w:after="80"/>
      </w:pPr>
      <w:r>
        <w:rPr>
          <w:b/>
          <w:color w:val="0F4C81"/>
          <w:sz w:val="22"/>
        </w:rPr>
        <w:t xml:space="preserve">• Modul 9 — HP Bekas &amp; Analisis Margin Laba </w:t>
      </w:r>
      <w:r>
        <w:rPr>
          <w:b/>
          <w:color w:val="228B22"/>
        </w:rPr>
        <w:t>[Selesai]</w:t>
        <w:br/>
      </w:r>
      <w:r>
        <w:rPr>
          <w:sz w:val="20"/>
        </w:rPr>
        <w:t>Pencatatan inventaris smartphone second hand, harga beli unit awal, biaya perbaikan/sparepart (servis rekondisi), estimasi harga jual wajar, serta kalkulasi persentase dan nominal margin laba bersih tiap unit terjual.</w:t>
      </w:r>
    </w:p>
    <w:p>
      <w:pPr>
        <w:spacing w:line="276" w:lineRule="auto" w:after="80"/>
      </w:pPr>
      <w:r>
        <w:rPr>
          <w:b/>
          <w:color w:val="0F4C81"/>
          <w:sz w:val="22"/>
        </w:rPr>
        <w:t xml:space="preserve">• Modul 10 — SPK Rekomendasi Smartphone (Metode SAW) </w:t>
      </w:r>
      <w:r>
        <w:rPr>
          <w:b/>
          <w:color w:val="228B22"/>
        </w:rPr>
        <w:t>[Selesai]</w:t>
        <w:br/>
      </w:r>
      <w:r>
        <w:rPr>
          <w:sz w:val="20"/>
        </w:rPr>
        <w:t>Sistem Pendukung Keputusan pemilihan smartphone terbaik berdasarkan 7 kriteria multi-kriteria: Harga (Cost), RAM (Benefit), Memori Internal (Benefit), Kamera (Benefit), Desain Modul Kamera (Benefit), Baterai (Benefit), dan Kondisi Unit (Benefit). Menyediakan preferensi bobot pengguna, matriks ternormalisasi, perangkingan deterministik, dan kartu rekomendasi Top 3.</w:t>
      </w:r>
    </w:p>
    <w:p>
      <w:pPr>
        <w:pStyle w:val="Heading1"/>
      </w:pPr>
      <w:r>
        <w:t>3. Spesifikasi Kriteria SPK Metode SAW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F4C81"/>
          </w:tcPr>
          <w:p>
            <w:r>
              <w:rPr>
                <w:b/>
                <w:color w:val="FFFFFF"/>
                <w:sz w:val="18"/>
              </w:rPr>
              <w:t>Kode</w:t>
            </w:r>
          </w:p>
        </w:tc>
        <w:tc>
          <w:tcPr>
            <w:tcW w:type="dxa" w:w="2592"/>
            <w:shd w:fill="0F4C81"/>
          </w:tcPr>
          <w:p>
            <w:r>
              <w:rPr>
                <w:b/>
                <w:color w:val="FFFFFF"/>
                <w:sz w:val="18"/>
              </w:rPr>
              <w:t>Kriteria</w:t>
            </w:r>
          </w:p>
        </w:tc>
        <w:tc>
          <w:tcPr>
            <w:tcW w:type="dxa" w:w="1440"/>
            <w:shd w:fill="0F4C81"/>
          </w:tcPr>
          <w:p>
            <w:r>
              <w:rPr>
                <w:b/>
                <w:color w:val="FFFFFF"/>
                <w:sz w:val="18"/>
              </w:rPr>
              <w:t>Atribut</w:t>
            </w:r>
          </w:p>
        </w:tc>
        <w:tc>
          <w:tcPr>
            <w:tcW w:type="dxa" w:w="1728"/>
            <w:shd w:fill="0F4C81"/>
          </w:tcPr>
          <w:p>
            <w:r>
              <w:rPr>
                <w:b/>
                <w:color w:val="FFFFFF"/>
                <w:sz w:val="18"/>
              </w:rPr>
              <w:t>Bobot Default</w:t>
            </w:r>
          </w:p>
        </w:tc>
        <w:tc>
          <w:tcPr>
            <w:tcW w:type="dxa" w:w="2448"/>
            <w:shd w:fill="0F4C81"/>
          </w:tcPr>
          <w:p>
            <w:r>
              <w:rPr>
                <w:b/>
                <w:color w:val="FFFFFF"/>
                <w:sz w:val="18"/>
              </w:rPr>
              <w:t>Keterangan / Skala</w:t>
            </w:r>
          </w:p>
        </w:tc>
      </w:tr>
      <w:tr>
        <w:tc>
          <w:tcPr>
            <w:tcW w:type="dxa" w:w="1152"/>
            <w:shd w:fill="F9FAFB"/>
          </w:tcPr>
          <w:p>
            <w:pPr>
              <w:spacing w:after="40" w:before="40"/>
            </w:pPr>
            <w:r>
              <w:rPr>
                <w:sz w:val="18"/>
              </w:rPr>
              <w:t>C1</w:t>
            </w:r>
          </w:p>
        </w:tc>
        <w:tc>
          <w:tcPr>
            <w:tcW w:type="dxa" w:w="2592"/>
            <w:shd w:fill="F9FAFB"/>
          </w:tcPr>
          <w:p>
            <w:pPr>
              <w:spacing w:after="40" w:before="40"/>
            </w:pPr>
            <w:r>
              <w:rPr>
                <w:sz w:val="18"/>
              </w:rPr>
              <w:t>Harga Smartphone</w:t>
            </w:r>
          </w:p>
        </w:tc>
        <w:tc>
          <w:tcPr>
            <w:tcW w:type="dxa" w:w="1440"/>
            <w:shd w:fill="F9FAFB"/>
          </w:tcPr>
          <w:p>
            <w:pPr>
              <w:spacing w:after="40" w:before="40"/>
            </w:pPr>
            <w:r>
              <w:rPr>
                <w:sz w:val="18"/>
              </w:rPr>
              <w:t>Cost</w:t>
            </w:r>
          </w:p>
        </w:tc>
        <w:tc>
          <w:tcPr>
            <w:tcW w:type="dxa" w:w="1728"/>
            <w:shd w:fill="F9FAFB"/>
          </w:tcPr>
          <w:p>
            <w:pPr>
              <w:spacing w:after="40" w:before="40"/>
            </w:pPr>
            <w:r>
              <w:rPr>
                <w:sz w:val="18"/>
              </w:rPr>
              <w:t>25%</w:t>
            </w:r>
          </w:p>
        </w:tc>
        <w:tc>
          <w:tcPr>
            <w:tcW w:type="dxa" w:w="2448"/>
            <w:shd w:fill="F9FAFB"/>
          </w:tcPr>
          <w:p>
            <w:pPr>
              <w:spacing w:after="40" w:before="40"/>
            </w:pPr>
            <w:r>
              <w:rPr>
                <w:sz w:val="18"/>
              </w:rPr>
              <w:t>Minimasi biaya (semakin murah nilai semakin tinggi)</w:t>
            </w:r>
          </w:p>
        </w:tc>
      </w:tr>
      <w:tr>
        <w:tc>
          <w:tcPr>
            <w:tcW w:type="dxa" w:w="1152"/>
            <w:shd w:fill="FFFFFF"/>
          </w:tcPr>
          <w:p>
            <w:pPr>
              <w:spacing w:after="40" w:before="40"/>
            </w:pPr>
            <w:r>
              <w:rPr>
                <w:sz w:val="18"/>
              </w:rPr>
              <w:t>C2</w:t>
            </w:r>
          </w:p>
        </w:tc>
        <w:tc>
          <w:tcPr>
            <w:tcW w:type="dxa" w:w="2592"/>
            <w:shd w:fill="FFFFFF"/>
          </w:tcPr>
          <w:p>
            <w:pPr>
              <w:spacing w:after="40" w:before="40"/>
            </w:pPr>
            <w:r>
              <w:rPr>
                <w:sz w:val="18"/>
              </w:rPr>
              <w:t>Kapasitas RAM</w:t>
            </w:r>
          </w:p>
        </w:tc>
        <w:tc>
          <w:tcPr>
            <w:tcW w:type="dxa" w:w="1440"/>
            <w:shd w:fill="FFFFFF"/>
          </w:tcPr>
          <w:p>
            <w:pPr>
              <w:spacing w:after="40" w:before="40"/>
            </w:pPr>
            <w:r>
              <w:rPr>
                <w:sz w:val="18"/>
              </w:rPr>
              <w:t>Benefit</w:t>
            </w:r>
          </w:p>
        </w:tc>
        <w:tc>
          <w:tcPr>
            <w:tcW w:type="dxa" w:w="1728"/>
            <w:shd w:fill="FFFFFF"/>
          </w:tcPr>
          <w:p>
            <w:pPr>
              <w:spacing w:after="40" w:before="40"/>
            </w:pPr>
            <w:r>
              <w:rPr>
                <w:sz w:val="18"/>
              </w:rPr>
              <w:t>15%</w:t>
            </w:r>
          </w:p>
        </w:tc>
        <w:tc>
          <w:tcPr>
            <w:tcW w:type="dxa" w:w="2448"/>
            <w:shd w:fill="FFFFFF"/>
          </w:tcPr>
          <w:p>
            <w:pPr>
              <w:spacing w:after="40" w:before="40"/>
            </w:pPr>
            <w:r>
              <w:rPr>
                <w:sz w:val="18"/>
              </w:rPr>
              <w:t>Maksimasi (GB)</w:t>
            </w:r>
          </w:p>
        </w:tc>
      </w:tr>
      <w:tr>
        <w:tc>
          <w:tcPr>
            <w:tcW w:type="dxa" w:w="1152"/>
            <w:shd w:fill="F9FAFB"/>
          </w:tcPr>
          <w:p>
            <w:pPr>
              <w:spacing w:after="40" w:before="40"/>
            </w:pPr>
            <w:r>
              <w:rPr>
                <w:sz w:val="18"/>
              </w:rPr>
              <w:t>C3</w:t>
            </w:r>
          </w:p>
        </w:tc>
        <w:tc>
          <w:tcPr>
            <w:tcW w:type="dxa" w:w="2592"/>
            <w:shd w:fill="F9FAFB"/>
          </w:tcPr>
          <w:p>
            <w:pPr>
              <w:spacing w:after="40" w:before="40"/>
            </w:pPr>
            <w:r>
              <w:rPr>
                <w:sz w:val="18"/>
              </w:rPr>
              <w:t>Memori Internal</w:t>
            </w:r>
          </w:p>
        </w:tc>
        <w:tc>
          <w:tcPr>
            <w:tcW w:type="dxa" w:w="1440"/>
            <w:shd w:fill="F9FAFB"/>
          </w:tcPr>
          <w:p>
            <w:pPr>
              <w:spacing w:after="40" w:before="40"/>
            </w:pPr>
            <w:r>
              <w:rPr>
                <w:sz w:val="18"/>
              </w:rPr>
              <w:t>Benefit</w:t>
            </w:r>
          </w:p>
        </w:tc>
        <w:tc>
          <w:tcPr>
            <w:tcW w:type="dxa" w:w="1728"/>
            <w:shd w:fill="F9FAFB"/>
          </w:tcPr>
          <w:p>
            <w:pPr>
              <w:spacing w:after="40" w:before="40"/>
            </w:pPr>
            <w:r>
              <w:rPr>
                <w:sz w:val="18"/>
              </w:rPr>
              <w:t>15%</w:t>
            </w:r>
          </w:p>
        </w:tc>
        <w:tc>
          <w:tcPr>
            <w:tcW w:type="dxa" w:w="2448"/>
            <w:shd w:fill="F9FAFB"/>
          </w:tcPr>
          <w:p>
            <w:pPr>
              <w:spacing w:after="40" w:before="40"/>
            </w:pPr>
            <w:r>
              <w:rPr>
                <w:sz w:val="18"/>
              </w:rPr>
              <w:t>Maksimasi (GB)</w:t>
            </w:r>
          </w:p>
        </w:tc>
      </w:tr>
      <w:tr>
        <w:tc>
          <w:tcPr>
            <w:tcW w:type="dxa" w:w="1152"/>
            <w:shd w:fill="FFFFFF"/>
          </w:tcPr>
          <w:p>
            <w:pPr>
              <w:spacing w:after="40" w:before="40"/>
            </w:pPr>
            <w:r>
              <w:rPr>
                <w:sz w:val="18"/>
              </w:rPr>
              <w:t>C4</w:t>
            </w:r>
          </w:p>
        </w:tc>
        <w:tc>
          <w:tcPr>
            <w:tcW w:type="dxa" w:w="2592"/>
            <w:shd w:fill="FFFFFF"/>
          </w:tcPr>
          <w:p>
            <w:pPr>
              <w:spacing w:after="40" w:before="40"/>
            </w:pPr>
            <w:r>
              <w:rPr>
                <w:sz w:val="18"/>
              </w:rPr>
              <w:t>Kualitas Kamera</w:t>
            </w:r>
          </w:p>
        </w:tc>
        <w:tc>
          <w:tcPr>
            <w:tcW w:type="dxa" w:w="1440"/>
            <w:shd w:fill="FFFFFF"/>
          </w:tcPr>
          <w:p>
            <w:pPr>
              <w:spacing w:after="40" w:before="40"/>
            </w:pPr>
            <w:r>
              <w:rPr>
                <w:sz w:val="18"/>
              </w:rPr>
              <w:t>Benefit</w:t>
            </w:r>
          </w:p>
        </w:tc>
        <w:tc>
          <w:tcPr>
            <w:tcW w:type="dxa" w:w="1728"/>
            <w:shd w:fill="FFFFFF"/>
          </w:tcPr>
          <w:p>
            <w:pPr>
              <w:spacing w:after="40" w:before="40"/>
            </w:pPr>
            <w:r>
              <w:rPr>
                <w:sz w:val="18"/>
              </w:rPr>
              <w:t>15%</w:t>
            </w:r>
          </w:p>
        </w:tc>
        <w:tc>
          <w:tcPr>
            <w:tcW w:type="dxa" w:w="2448"/>
            <w:shd w:fill="FFFFFF"/>
          </w:tcPr>
          <w:p>
            <w:pPr>
              <w:spacing w:after="40" w:before="40"/>
            </w:pPr>
            <w:r>
              <w:rPr>
                <w:sz w:val="18"/>
              </w:rPr>
              <w:t>Skala penilaian 1–5</w:t>
            </w:r>
          </w:p>
        </w:tc>
      </w:tr>
      <w:tr>
        <w:tc>
          <w:tcPr>
            <w:tcW w:type="dxa" w:w="1152"/>
            <w:shd w:fill="F9FAFB"/>
          </w:tcPr>
          <w:p>
            <w:pPr>
              <w:spacing w:after="40" w:before="40"/>
            </w:pPr>
            <w:r>
              <w:rPr>
                <w:sz w:val="18"/>
              </w:rPr>
              <w:t>C5</w:t>
            </w:r>
          </w:p>
        </w:tc>
        <w:tc>
          <w:tcPr>
            <w:tcW w:type="dxa" w:w="2592"/>
            <w:shd w:fill="F9FAFB"/>
          </w:tcPr>
          <w:p>
            <w:pPr>
              <w:spacing w:after="40" w:before="40"/>
            </w:pPr>
            <w:r>
              <w:rPr>
                <w:sz w:val="18"/>
              </w:rPr>
              <w:t>Desain Modul Kamera</w:t>
            </w:r>
          </w:p>
        </w:tc>
        <w:tc>
          <w:tcPr>
            <w:tcW w:type="dxa" w:w="1440"/>
            <w:shd w:fill="F9FAFB"/>
          </w:tcPr>
          <w:p>
            <w:pPr>
              <w:spacing w:after="40" w:before="40"/>
            </w:pPr>
            <w:r>
              <w:rPr>
                <w:sz w:val="18"/>
              </w:rPr>
              <w:t>Benefit</w:t>
            </w:r>
          </w:p>
        </w:tc>
        <w:tc>
          <w:tcPr>
            <w:tcW w:type="dxa" w:w="1728"/>
            <w:shd w:fill="F9FAFB"/>
          </w:tcPr>
          <w:p>
            <w:pPr>
              <w:spacing w:after="40" w:before="40"/>
            </w:pPr>
            <w:r>
              <w:rPr>
                <w:sz w:val="18"/>
              </w:rPr>
              <w:t>10%</w:t>
            </w:r>
          </w:p>
        </w:tc>
        <w:tc>
          <w:tcPr>
            <w:tcW w:type="dxa" w:w="2448"/>
            <w:shd w:fill="F9FAFB"/>
          </w:tcPr>
          <w:p>
            <w:pPr>
              <w:spacing w:after="40" w:before="40"/>
            </w:pPr>
            <w:r>
              <w:rPr>
                <w:sz w:val="18"/>
              </w:rPr>
              <w:t>Skala penilaian estetika 1–5</w:t>
            </w:r>
          </w:p>
        </w:tc>
      </w:tr>
      <w:tr>
        <w:tc>
          <w:tcPr>
            <w:tcW w:type="dxa" w:w="1152"/>
            <w:shd w:fill="FFFFFF"/>
          </w:tcPr>
          <w:p>
            <w:pPr>
              <w:spacing w:after="40" w:before="40"/>
            </w:pPr>
            <w:r>
              <w:rPr>
                <w:sz w:val="18"/>
              </w:rPr>
              <w:t>C6</w:t>
            </w:r>
          </w:p>
        </w:tc>
        <w:tc>
          <w:tcPr>
            <w:tcW w:type="dxa" w:w="2592"/>
            <w:shd w:fill="FFFFFF"/>
          </w:tcPr>
          <w:p>
            <w:pPr>
              <w:spacing w:after="40" w:before="40"/>
            </w:pPr>
            <w:r>
              <w:rPr>
                <w:sz w:val="18"/>
              </w:rPr>
              <w:t>Kapasitas Baterai</w:t>
            </w:r>
          </w:p>
        </w:tc>
        <w:tc>
          <w:tcPr>
            <w:tcW w:type="dxa" w:w="1440"/>
            <w:shd w:fill="FFFFFF"/>
          </w:tcPr>
          <w:p>
            <w:pPr>
              <w:spacing w:after="40" w:before="40"/>
            </w:pPr>
            <w:r>
              <w:rPr>
                <w:sz w:val="18"/>
              </w:rPr>
              <w:t>Benefit</w:t>
            </w:r>
          </w:p>
        </w:tc>
        <w:tc>
          <w:tcPr>
            <w:tcW w:type="dxa" w:w="1728"/>
            <w:shd w:fill="FFFFFF"/>
          </w:tcPr>
          <w:p>
            <w:pPr>
              <w:spacing w:after="40" w:before="40"/>
            </w:pPr>
            <w:r>
              <w:rPr>
                <w:sz w:val="18"/>
              </w:rPr>
              <w:t>10%</w:t>
            </w:r>
          </w:p>
        </w:tc>
        <w:tc>
          <w:tcPr>
            <w:tcW w:type="dxa" w:w="2448"/>
            <w:shd w:fill="FFFFFF"/>
          </w:tcPr>
          <w:p>
            <w:pPr>
              <w:spacing w:after="40" w:before="40"/>
            </w:pPr>
            <w:r>
              <w:rPr>
                <w:sz w:val="18"/>
              </w:rPr>
              <w:t>Maksimasi (mAh)</w:t>
            </w:r>
          </w:p>
        </w:tc>
      </w:tr>
      <w:tr>
        <w:tc>
          <w:tcPr>
            <w:tcW w:type="dxa" w:w="1152"/>
            <w:shd w:fill="F9FAFB"/>
          </w:tcPr>
          <w:p>
            <w:pPr>
              <w:spacing w:after="40" w:before="40"/>
            </w:pPr>
            <w:r>
              <w:rPr>
                <w:sz w:val="18"/>
              </w:rPr>
              <w:t>C7</w:t>
            </w:r>
          </w:p>
        </w:tc>
        <w:tc>
          <w:tcPr>
            <w:tcW w:type="dxa" w:w="2592"/>
            <w:shd w:fill="F9FAFB"/>
          </w:tcPr>
          <w:p>
            <w:pPr>
              <w:spacing w:after="40" w:before="40"/>
            </w:pPr>
            <w:r>
              <w:rPr>
                <w:sz w:val="18"/>
              </w:rPr>
              <w:t>Kondisi Fisik Unit</w:t>
            </w:r>
          </w:p>
        </w:tc>
        <w:tc>
          <w:tcPr>
            <w:tcW w:type="dxa" w:w="1440"/>
            <w:shd w:fill="F9FAFB"/>
          </w:tcPr>
          <w:p>
            <w:pPr>
              <w:spacing w:after="40" w:before="40"/>
            </w:pPr>
            <w:r>
              <w:rPr>
                <w:sz w:val="18"/>
              </w:rPr>
              <w:t>Benefit</w:t>
            </w:r>
          </w:p>
        </w:tc>
        <w:tc>
          <w:tcPr>
            <w:tcW w:type="dxa" w:w="1728"/>
            <w:shd w:fill="F9FAFB"/>
          </w:tcPr>
          <w:p>
            <w:pPr>
              <w:spacing w:after="40" w:before="40"/>
            </w:pPr>
            <w:r>
              <w:rPr>
                <w:sz w:val="18"/>
              </w:rPr>
              <w:t>10%</w:t>
            </w:r>
          </w:p>
        </w:tc>
        <w:tc>
          <w:tcPr>
            <w:tcW w:type="dxa" w:w="2448"/>
            <w:shd w:fill="F9FAFB"/>
          </w:tcPr>
          <w:p>
            <w:pPr>
              <w:spacing w:after="40" w:before="40"/>
            </w:pPr>
            <w:r>
              <w:rPr>
                <w:sz w:val="18"/>
              </w:rPr>
              <w:t>Skala 1–5 (Baru = 5, Bekas Mulus = 4, dst.)</w:t>
            </w:r>
          </w:p>
        </w:tc>
      </w:tr>
    </w:tbl>
    <w:p/>
    <w:p>
      <w:pPr>
        <w:pStyle w:val="Heading1"/>
      </w:pPr>
      <w:r>
        <w:t>4. Jaminan Kualitas &amp; Verifikasi Teknis</w:t>
      </w:r>
    </w:p>
    <w:p>
      <w:pPr>
        <w:spacing w:line="276" w:lineRule="auto"/>
      </w:pPr>
      <w:r>
        <w:t>Aplikasi telah melalui tahapan pengujian ketat sesuai spesifikasi Software Requirements (SOT):</w:t>
        <w:br/>
        <w:t>1. TypeScript Strict Mode: Memastikan tidak ada implicit any atau error tipe data pada seluruh modul.</w:t>
        <w:br/>
        <w:t>2. Vitest Unit &amp; Integration Testing: Pengujian rumus matematika SAW, normalisasi cost/benefit, edge cases pembagian nol, dan pemotongan stok kasir.</w:t>
        <w:br/>
        <w:t>3. Production Bundle Optimization: Build Vite teroptimasi dengan ukuran total aset &lt; 500 KB (sangat ringan dan cepat dimuat).</w:t>
        <w:br/>
        <w:t>4. Kepatuhan Keamanan &amp; Privasi: Sistem bebas dependensi server eksternal dan tidak menyimpan data kredensial atau pola kunci pelanggan.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