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21 · Albert School </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Alexandre Waerniers - Raveloarimanga Rajesy Ny Andrian - Sereine Tawamba</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b w:val="1"/>
          <w:bCs w:val="1"/>
          <w:color w:val="1c4587"/>
          <w:sz w:val="46"/>
          <w:szCs w:val="46"/>
        </w:rPr>
      </w:pPr>
      <w:bookmarkStart w:colFirst="0" w:colLast="0" w:name="_v2nhait9aw0w" w:id="0"/>
      <w:bookmarkEnd w:id="0"/>
      <w:r w:rsidDel="00000000" w:rsidR="00000000" w:rsidRPr="00000000">
        <w:rPr>
          <w:rFonts w:ascii="Times New Roman" w:cs="Times New Roman" w:eastAsia="Times New Roman" w:hAnsi="Times New Roman"/>
          <w:b w:val="1"/>
          <w:bCs w:val="1"/>
          <w:color w:val="1c4587"/>
          <w:sz w:val="46"/>
          <w:szCs w:val="46"/>
          <w:rtl w:val="0"/>
        </w:rPr>
        <w:t xml:space="preserve">Three‑Year Business Plan for L’Étudiant’s Transformation into a Data Product Company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three‑year business plan that follows outlines the progressive transformation of L’Étudiant from a traditional data vendor into a fully operational Data Product Company. This transformation rests on the strategic exploitation of L’Étudiant’s extensive first‑party data reservoir, its nationally recognised brand and its strong institutional relationships. By structuring the plan around a clear strategic vision, an accurate assessment of baseline conditions, a sequenced operational roadmap and a coherent commercial strategy, L’Étudiant positions itself to capture long‑term value in an educational ecosystem increasingly reliant on behavioural and intention‑based insights.</w:t>
      </w:r>
    </w:p>
    <w:p w:rsidR="00000000" w:rsidDel="00000000" w:rsidP="00000000" w:rsidRDefault="00000000" w:rsidRPr="00000000" w14:paraId="00000005">
      <w:pPr>
        <w:pStyle w:val="Heading2"/>
        <w:keepNext w:val="0"/>
        <w:keepLines w:val="0"/>
        <w:numPr>
          <w:ilvl w:val="0"/>
          <w:numId w:val="1"/>
        </w:numPr>
        <w:spacing w:after="80" w:lineRule="auto"/>
        <w:ind w:left="720" w:hanging="360"/>
        <w:rPr>
          <w:rFonts w:ascii="Times New Roman" w:cs="Times New Roman" w:eastAsia="Times New Roman" w:hAnsi="Times New Roman"/>
          <w:b w:val="1"/>
          <w:bCs w:val="1"/>
          <w:color w:val="1c4587"/>
          <w:sz w:val="34"/>
          <w:szCs w:val="34"/>
        </w:rPr>
      </w:pPr>
      <w:bookmarkStart w:colFirst="0" w:colLast="0" w:name="_a0xjefjt47q7" w:id="1"/>
      <w:bookmarkEnd w:id="1"/>
      <w:r w:rsidDel="00000000" w:rsidR="00000000" w:rsidRPr="00000000">
        <w:rPr>
          <w:rFonts w:ascii="Times New Roman" w:cs="Times New Roman" w:eastAsia="Times New Roman" w:hAnsi="Times New Roman"/>
          <w:b w:val="1"/>
          <w:bCs w:val="1"/>
          <w:color w:val="1c4587"/>
          <w:sz w:val="34"/>
          <w:szCs w:val="34"/>
          <w:rtl w:val="0"/>
        </w:rPr>
        <w:t xml:space="preserve">Strategic Vision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strategic vision guiding this three‑year plan is the repositioning of L’Étudiant as the primary national infrastructure for student‑intention intelligence. Instead of functioning as an organisation that sells leads generated through fairs and digital forms, L’Étudiant aims to become a provider of continuous, compliant and predictive insight products. This shift is driven by structural changes in the digital environment, including the decline of third‑party identifiers and the growing importance of first‑party data for recruitment, outreach and strategic planning⁵,⁶. By placing behavioural and recency‑based intelligence at the centre of its value proposition, L’Étudiant defines a future in which institutions depend on it not merely for visibility or lead volume but for high‑resolution analytical guidance.</w:t>
      </w:r>
    </w:p>
    <w:p w:rsidR="00000000" w:rsidDel="00000000" w:rsidP="00000000" w:rsidRDefault="00000000" w:rsidRPr="00000000" w14:paraId="00000007">
      <w:pPr>
        <w:pStyle w:val="Heading2"/>
        <w:keepNext w:val="0"/>
        <w:keepLines w:val="0"/>
        <w:numPr>
          <w:ilvl w:val="0"/>
          <w:numId w:val="1"/>
        </w:numPr>
        <w:spacing w:after="80" w:lineRule="auto"/>
        <w:ind w:left="720" w:hanging="360"/>
        <w:rPr>
          <w:rFonts w:ascii="Times New Roman" w:cs="Times New Roman" w:eastAsia="Times New Roman" w:hAnsi="Times New Roman"/>
          <w:b w:val="1"/>
          <w:bCs w:val="1"/>
          <w:color w:val="1c4587"/>
          <w:sz w:val="34"/>
          <w:szCs w:val="34"/>
        </w:rPr>
      </w:pPr>
      <w:bookmarkStart w:colFirst="0" w:colLast="0" w:name="_t0qzdd7qnqvh" w:id="2"/>
      <w:bookmarkEnd w:id="2"/>
      <w:r w:rsidDel="00000000" w:rsidR="00000000" w:rsidRPr="00000000">
        <w:rPr>
          <w:rFonts w:ascii="Times New Roman" w:cs="Times New Roman" w:eastAsia="Times New Roman" w:hAnsi="Times New Roman"/>
          <w:b w:val="1"/>
          <w:bCs w:val="1"/>
          <w:color w:val="1c4587"/>
          <w:sz w:val="34"/>
          <w:szCs w:val="34"/>
          <w:rtl w:val="0"/>
        </w:rPr>
        <w:t xml:space="preserve">Baseline and Initial Conditions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L’Étudiant enters this transformation with considerable strengths. Its platforms attract more than 7.3 million monthly visitors and over 34 million page views, and its seventy‑six annual fairs draw more than two million attendees¹. These interactions provide a continuous stream of behavioural and declarative data across multiple touchpoints. The organisation also benefits from a highly trusted brand and long‑standing relationships with educational institutions². However, the existing data infrastructure is fragmented. Manual cleaning, inconsistent deduplication, irregular ingestion cycles and ad‑hoc delivery formats limit the commercial exploitation of these assets. GDPR compliance, although fundamental, remains a labour‑intensive constraint. Moreover, recruitment markets have become more competitive and more data‑intensive⁴,⁷, meaning that institutions increasingly require timely updates, predictive scoring and granular segmentations. This baseline reveals a clear gap between L’Étudiant’s data potential and its current data product maturity.</w:t>
      </w:r>
    </w:p>
    <w:p w:rsidR="00000000" w:rsidDel="00000000" w:rsidP="00000000" w:rsidRDefault="00000000" w:rsidRPr="00000000" w14:paraId="00000009">
      <w:pPr>
        <w:pStyle w:val="Heading2"/>
        <w:keepNext w:val="0"/>
        <w:keepLines w:val="0"/>
        <w:numPr>
          <w:ilvl w:val="0"/>
          <w:numId w:val="1"/>
        </w:numPr>
        <w:spacing w:after="80" w:lineRule="auto"/>
        <w:ind w:left="720" w:hanging="360"/>
        <w:rPr>
          <w:rFonts w:ascii="Times New Roman" w:cs="Times New Roman" w:eastAsia="Times New Roman" w:hAnsi="Times New Roman"/>
          <w:b w:val="1"/>
          <w:bCs w:val="1"/>
          <w:color w:val="1c4587"/>
          <w:sz w:val="34"/>
          <w:szCs w:val="34"/>
        </w:rPr>
      </w:pPr>
      <w:bookmarkStart w:colFirst="0" w:colLast="0" w:name="_iaunkwvq97ph" w:id="3"/>
      <w:bookmarkEnd w:id="3"/>
      <w:r w:rsidDel="00000000" w:rsidR="00000000" w:rsidRPr="00000000">
        <w:rPr>
          <w:rFonts w:ascii="Times New Roman" w:cs="Times New Roman" w:eastAsia="Times New Roman" w:hAnsi="Times New Roman"/>
          <w:b w:val="1"/>
          <w:bCs w:val="1"/>
          <w:color w:val="1c4587"/>
          <w:sz w:val="34"/>
          <w:szCs w:val="34"/>
          <w:rtl w:val="0"/>
        </w:rPr>
        <w:t xml:space="preserve">Three‑Year Roadmap</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three‑year roadmap advances through clearly delineated phases: stabilisation, expansion and consolidation. Each phase builds upon the previous one to ensure that operational readiness, market adoption and analytical sophistication evolve coherently.</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color w:val="1155cc"/>
          <w:sz w:val="26"/>
          <w:szCs w:val="26"/>
        </w:rPr>
      </w:pPr>
      <w:r w:rsidDel="00000000" w:rsidR="00000000" w:rsidRPr="00000000">
        <w:rPr>
          <w:rFonts w:ascii="Times New Roman" w:cs="Times New Roman" w:eastAsia="Times New Roman" w:hAnsi="Times New Roman"/>
          <w:b w:val="1"/>
          <w:bCs w:val="1"/>
          <w:color w:val="1155cc"/>
          <w:sz w:val="26"/>
          <w:szCs w:val="26"/>
          <w:rtl w:val="0"/>
        </w:rPr>
        <w:t xml:space="preserve">Year 1 — Foundations: Infrastructure, Governance and Standardisation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year focuses on stabilising the technical and organisational infrastructure required to support recurring data products. The central components of the ingestion pipeline (normalisation, deduplication, freshness calculation, intention scoring and compliance filtering) are fully automated to ensure repeatability. The scoring algorithm is formalised: freshness, intention and completeness are operationalised into a composite grade (A/B/C), and GDPR filters are codified into mechanical validation steps. A robust data governance framework is introduced. Operational teams are trained to shift from manual lead preparation to quality assurance of automated processes. The Barometer Dashboard begins operating as a real‑time monitoring tool, serving both internal teams and institutions. Standardised data schemas, retention policies and consent‑tracking systems create the foundations for compliance‑ready data activation. Commercially, Year 1 aims to convert a portion of existing institutional clients into the Standard Access subscription tier priced at 800 € per month. Institutions are progressively educated on the benefits of “always‑on,” compliant and refreshed datasets. The goal is not yet aggressive revenue expansion but the establishment of a reliable first cohort of subscribers who validate the viability of the product.</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Outcome of Year 1:</w:t>
      </w:r>
      <w:r w:rsidDel="00000000" w:rsidR="00000000" w:rsidRPr="00000000">
        <w:rPr>
          <w:rFonts w:ascii="Times New Roman" w:cs="Times New Roman" w:eastAsia="Times New Roman" w:hAnsi="Times New Roman"/>
          <w:sz w:val="24"/>
          <w:szCs w:val="24"/>
          <w:rtl w:val="0"/>
        </w:rPr>
        <w:br w:type="textWrapping"/>
        <w:t xml:space="preserve">A functional data infrastructure, a trained internal organisation, the first cohort of Standard‑tier subscribers, and verifiable proof of product reliability and compliance.</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1155cc"/>
          <w:sz w:val="26"/>
          <w:szCs w:val="26"/>
        </w:rPr>
      </w:pPr>
      <w:bookmarkStart w:colFirst="0" w:colLast="0" w:name="_66e06ebi1ao1" w:id="4"/>
      <w:bookmarkEnd w:id="4"/>
      <w:r w:rsidDel="00000000" w:rsidR="00000000" w:rsidRPr="00000000">
        <w:rPr>
          <w:rFonts w:ascii="Times New Roman" w:cs="Times New Roman" w:eastAsia="Times New Roman" w:hAnsi="Times New Roman"/>
          <w:b w:val="1"/>
          <w:bCs w:val="1"/>
          <w:color w:val="1155cc"/>
          <w:sz w:val="26"/>
          <w:szCs w:val="26"/>
          <w:rtl w:val="0"/>
        </w:rPr>
        <w:t xml:space="preserve">Year 2 — Expansion: Scaling Adoption, Enhancing Capabilities and Strengthening Market Position</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year, with the infrastructure stable, L’Étudiant focuses on expanding adoption across its addressable market. Higher‑education institutions increasingly recognise the value of weekly updates and the importance of behavioural intelligence for year‑round recruitment. As a result, the Premium Access tier priced at 2 500 € per month becomes the engine of commercial growth. Institutions begin to integrate weekly refreshed intention grades into their CRM systems. The API capabilities offered in the Premium tier enable real‑time synchronisation with institutional operational tools, transforming L’Étudiant’s data from a static asset into a dynamic strategic input. Operationally, L’Étudiant strengthens its data‑science and analytics teams. These teams develop more refined segmentation and provide institutions with advisory support on interpreting intention scores, recency patterns and behavioural drivers. The Barometer Dashboard expands into a national reference for monitoring programme interest, regional trends, academic fields and year‑to‑year behavioural shifts. By the end of Year 2, institutions treat L’Étudiant not merely as a provider of student contacts but as a partner for predictive recruitment intelligence.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Outcome of Year 2:</w:t>
      </w:r>
      <w:r w:rsidDel="00000000" w:rsidR="00000000" w:rsidRPr="00000000">
        <w:rPr>
          <w:rFonts w:ascii="Times New Roman" w:cs="Times New Roman" w:eastAsia="Times New Roman" w:hAnsi="Times New Roman"/>
          <w:sz w:val="24"/>
          <w:szCs w:val="24"/>
          <w:rtl w:val="0"/>
        </w:rPr>
        <w:br w:type="textWrapping"/>
        <w:t xml:space="preserve">A significant increase in Premium‑tier users, widespread integration of behavioural data into institutional workflows and the recognition of L’Étudiant as a strategic analytical resource.</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1155cc"/>
          <w:sz w:val="26"/>
          <w:szCs w:val="26"/>
        </w:rPr>
      </w:pPr>
      <w:bookmarkStart w:colFirst="0" w:colLast="0" w:name="_cl37pnqn258f" w:id="5"/>
      <w:bookmarkEnd w:id="5"/>
      <w:r w:rsidDel="00000000" w:rsidR="00000000" w:rsidRPr="00000000">
        <w:rPr>
          <w:rFonts w:ascii="Times New Roman" w:cs="Times New Roman" w:eastAsia="Times New Roman" w:hAnsi="Times New Roman"/>
          <w:b w:val="1"/>
          <w:bCs w:val="1"/>
          <w:color w:val="1155cc"/>
          <w:sz w:val="26"/>
          <w:szCs w:val="26"/>
          <w:rtl w:val="0"/>
        </w:rPr>
        <w:t xml:space="preserve">Year 3 — Consolidation: Customisation, Market Leadership and High‑Value Partnerships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year consolidates L’Étudiant’s identity as a fully operational Data Product Company. The Sur Mesure tier, beginning at 5 000 € per month, becomes central to the commercial strategy. Institutions with intense competition for students (business schools, engineering schools and health‑related programmes) seek bespoke models that incorporate programme‑specific signals, deeply granular segmentation and longitudinal behavioural analytics. L’Étudiant’s data‑science team collaborates with institutional partners to design custom scoring logic, identify niche behavioural predictors and generate insights tailored to programme‑level strategic decisions. This advisory relationship deepens client dependence, lengthens retention cycles and positions L’Étudiant as a leading intelligence provider in the French education market. Operational refinement continues. The ingestion‑scoring‑GDPR‑activation pipeline is optimised to support high‑frequency refreshes without latency or compliance risks. Dataset volume grows substantially, improving the robustness of predictive indicators. By the end of Year 3, recurring subscription revenue </w:t>
      </w:r>
      <w:r w:rsidDel="00000000" w:rsidR="00000000" w:rsidRPr="00000000">
        <w:rPr>
          <w:rFonts w:ascii="Times New Roman" w:cs="Times New Roman" w:eastAsia="Times New Roman" w:hAnsi="Times New Roman"/>
          <w:sz w:val="24"/>
          <w:szCs w:val="24"/>
          <w:rtl w:val="0"/>
        </w:rPr>
        <w:t xml:space="preserve">becomes</w:t>
      </w:r>
      <w:r w:rsidDel="00000000" w:rsidR="00000000" w:rsidRPr="00000000">
        <w:rPr>
          <w:rFonts w:ascii="Times New Roman" w:cs="Times New Roman" w:eastAsia="Times New Roman" w:hAnsi="Times New Roman"/>
          <w:sz w:val="24"/>
          <w:szCs w:val="24"/>
          <w:rtl w:val="0"/>
        </w:rPr>
        <w:t xml:space="preserve"> a structurally important component of L’Étudiant’s financial model. The company is recognised nationwide as a central infrastructure powering student‑intention analytics.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Outcome of Year 3:</w:t>
      </w:r>
      <w:r w:rsidDel="00000000" w:rsidR="00000000" w:rsidRPr="00000000">
        <w:rPr>
          <w:rFonts w:ascii="Times New Roman" w:cs="Times New Roman" w:eastAsia="Times New Roman" w:hAnsi="Times New Roman"/>
          <w:sz w:val="24"/>
          <w:szCs w:val="24"/>
          <w:rtl w:val="0"/>
        </w:rPr>
        <w:br w:type="textWrapping"/>
        <w:t xml:space="preserve">Market consolidation, a mature custom‑data business line, and a stable, scalable recurring‑revenue model built on first‑party data.</w:t>
      </w:r>
    </w:p>
    <w:p w:rsidR="00000000" w:rsidDel="00000000" w:rsidP="00000000" w:rsidRDefault="00000000" w:rsidRPr="00000000" w14:paraId="00000014">
      <w:pPr>
        <w:pStyle w:val="Heading2"/>
        <w:keepNext w:val="0"/>
        <w:keepLines w:val="0"/>
        <w:numPr>
          <w:ilvl w:val="0"/>
          <w:numId w:val="1"/>
        </w:numPr>
        <w:spacing w:after="80" w:lineRule="auto"/>
        <w:ind w:left="720" w:hanging="360"/>
        <w:rPr>
          <w:rFonts w:ascii="Times New Roman" w:cs="Times New Roman" w:eastAsia="Times New Roman" w:hAnsi="Times New Roman"/>
          <w:b w:val="1"/>
          <w:bCs w:val="1"/>
          <w:color w:val="1c4587"/>
          <w:sz w:val="34"/>
          <w:szCs w:val="34"/>
        </w:rPr>
      </w:pPr>
      <w:bookmarkStart w:colFirst="0" w:colLast="0" w:name="_48hrdgpa618f" w:id="6"/>
      <w:bookmarkEnd w:id="6"/>
      <w:r w:rsidDel="00000000" w:rsidR="00000000" w:rsidRPr="00000000">
        <w:rPr>
          <w:rFonts w:ascii="Times New Roman" w:cs="Times New Roman" w:eastAsia="Times New Roman" w:hAnsi="Times New Roman"/>
          <w:b w:val="1"/>
          <w:bCs w:val="1"/>
          <w:color w:val="1c4587"/>
          <w:sz w:val="34"/>
          <w:szCs w:val="34"/>
          <w:rtl w:val="0"/>
        </w:rPr>
        <w:t xml:space="preserve">Operational Plan</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plan extends across the three years and ensures that L’Étudiant becomes capable of delivering continuous, compliant and predictive data products at scale. In the first year, the organisation focuses on standardising its data architecture, formalising quality‑assurance procedures and embedding GDPR compliance into the pipeline. The second year expands analytical capabilities, enhances segmentation depth and strengthens institutional support. The third year refines the infrastructure and enables custom analytical frameworks, ensuring that institutions receive not only data but contextualised insight. Each year reinforces the organisation’s technological and procedural maturity, anchoring the transformation in operational stability.</w:t>
      </w:r>
    </w:p>
    <w:p w:rsidR="00000000" w:rsidDel="00000000" w:rsidP="00000000" w:rsidRDefault="00000000" w:rsidRPr="00000000" w14:paraId="00000016">
      <w:pPr>
        <w:pStyle w:val="Heading2"/>
        <w:keepNext w:val="0"/>
        <w:keepLines w:val="0"/>
        <w:numPr>
          <w:ilvl w:val="0"/>
          <w:numId w:val="1"/>
        </w:numPr>
        <w:spacing w:after="80" w:lineRule="auto"/>
        <w:ind w:left="720" w:hanging="360"/>
        <w:rPr>
          <w:rFonts w:ascii="Times New Roman" w:cs="Times New Roman" w:eastAsia="Times New Roman" w:hAnsi="Times New Roman"/>
          <w:b w:val="1"/>
          <w:bCs w:val="1"/>
          <w:color w:val="1c4587"/>
          <w:sz w:val="34"/>
          <w:szCs w:val="34"/>
        </w:rPr>
      </w:pPr>
      <w:bookmarkStart w:colFirst="0" w:colLast="0" w:name="_z636lcz283na" w:id="7"/>
      <w:bookmarkEnd w:id="7"/>
      <w:r w:rsidDel="00000000" w:rsidR="00000000" w:rsidRPr="00000000">
        <w:rPr>
          <w:rFonts w:ascii="Times New Roman" w:cs="Times New Roman" w:eastAsia="Times New Roman" w:hAnsi="Times New Roman"/>
          <w:b w:val="1"/>
          <w:bCs w:val="1"/>
          <w:color w:val="1c4587"/>
          <w:sz w:val="34"/>
          <w:szCs w:val="34"/>
          <w:rtl w:val="0"/>
        </w:rPr>
        <w:t xml:space="preserve">Commercial and Revenue Strategy</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revenue model is structured around the three subscription tiers that correspond to progressively deeper levels of analytical value. The </w:t>
      </w:r>
      <w:r w:rsidDel="00000000" w:rsidR="00000000" w:rsidRPr="00000000">
        <w:rPr>
          <w:rFonts w:ascii="Times New Roman" w:cs="Times New Roman" w:eastAsia="Times New Roman" w:hAnsi="Times New Roman"/>
          <w:i w:val="1"/>
          <w:iCs w:val="1"/>
          <w:sz w:val="24"/>
          <w:szCs w:val="24"/>
          <w:rtl w:val="0"/>
        </w:rPr>
        <w:t xml:space="preserve">Standard Access</w:t>
      </w:r>
      <w:r w:rsidDel="00000000" w:rsidR="00000000" w:rsidRPr="00000000">
        <w:rPr>
          <w:rFonts w:ascii="Times New Roman" w:cs="Times New Roman" w:eastAsia="Times New Roman" w:hAnsi="Times New Roman"/>
          <w:sz w:val="24"/>
          <w:szCs w:val="24"/>
          <w:rtl w:val="0"/>
        </w:rPr>
        <w:t xml:space="preserve"> tier at 800 euros per month introduces clients to the principle of refreshed, compliant and structured datasets. The </w:t>
      </w:r>
      <w:r w:rsidDel="00000000" w:rsidR="00000000" w:rsidRPr="00000000">
        <w:rPr>
          <w:rFonts w:ascii="Times New Roman" w:cs="Times New Roman" w:eastAsia="Times New Roman" w:hAnsi="Times New Roman"/>
          <w:i w:val="1"/>
          <w:iCs w:val="1"/>
          <w:sz w:val="24"/>
          <w:szCs w:val="24"/>
          <w:rtl w:val="0"/>
        </w:rPr>
        <w:t xml:space="preserve">Premium Access</w:t>
      </w:r>
      <w:r w:rsidDel="00000000" w:rsidR="00000000" w:rsidRPr="00000000">
        <w:rPr>
          <w:rFonts w:ascii="Times New Roman" w:cs="Times New Roman" w:eastAsia="Times New Roman" w:hAnsi="Times New Roman"/>
          <w:sz w:val="24"/>
          <w:szCs w:val="24"/>
          <w:rtl w:val="0"/>
        </w:rPr>
        <w:t xml:space="preserve"> tier at 2 500 euros per month becomes the principal driver of growth by providing weekly behavioural intelligence and CRM integration. The </w:t>
      </w:r>
      <w:r w:rsidDel="00000000" w:rsidR="00000000" w:rsidRPr="00000000">
        <w:rPr>
          <w:rFonts w:ascii="Times New Roman" w:cs="Times New Roman" w:eastAsia="Times New Roman" w:hAnsi="Times New Roman"/>
          <w:i w:val="1"/>
          <w:iCs w:val="1"/>
          <w:sz w:val="24"/>
          <w:szCs w:val="24"/>
          <w:rtl w:val="0"/>
        </w:rPr>
        <w:t xml:space="preserve">Sur Mesure</w:t>
      </w:r>
      <w:r w:rsidDel="00000000" w:rsidR="00000000" w:rsidRPr="00000000">
        <w:rPr>
          <w:rFonts w:ascii="Times New Roman" w:cs="Times New Roman" w:eastAsia="Times New Roman" w:hAnsi="Times New Roman"/>
          <w:sz w:val="24"/>
          <w:szCs w:val="24"/>
          <w:rtl w:val="0"/>
        </w:rPr>
        <w:t xml:space="preserve"> tier, beginning at 5 000 euros per month, captures advanced institutional needs through bespoke models and personalised analytical support. Over three years, the subscriber mix shifts from a majority of </w:t>
      </w:r>
      <w:r w:rsidDel="00000000" w:rsidR="00000000" w:rsidRPr="00000000">
        <w:rPr>
          <w:rFonts w:ascii="Times New Roman" w:cs="Times New Roman" w:eastAsia="Times New Roman" w:hAnsi="Times New Roman"/>
          <w:i w:val="1"/>
          <w:iCs w:val="1"/>
          <w:sz w:val="24"/>
          <w:szCs w:val="24"/>
          <w:rtl w:val="0"/>
        </w:rPr>
        <w:t xml:space="preserve">Standard</w:t>
      </w:r>
      <w:r w:rsidDel="00000000" w:rsidR="00000000" w:rsidRPr="00000000">
        <w:rPr>
          <w:rFonts w:ascii="Times New Roman" w:cs="Times New Roman" w:eastAsia="Times New Roman" w:hAnsi="Times New Roman"/>
          <w:sz w:val="24"/>
          <w:szCs w:val="24"/>
          <w:rtl w:val="0"/>
        </w:rPr>
        <w:t xml:space="preserve">‑tier clients to a balanced distribution across all tiers, with </w:t>
      </w:r>
      <w:r w:rsidDel="00000000" w:rsidR="00000000" w:rsidRPr="00000000">
        <w:rPr>
          <w:rFonts w:ascii="Times New Roman" w:cs="Times New Roman" w:eastAsia="Times New Roman" w:hAnsi="Times New Roman"/>
          <w:i w:val="1"/>
          <w:iCs w:val="1"/>
          <w:sz w:val="24"/>
          <w:szCs w:val="24"/>
          <w:rtl w:val="0"/>
        </w:rPr>
        <w:t xml:space="preserve">Premium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Sur Mesure</w:t>
      </w:r>
      <w:r w:rsidDel="00000000" w:rsidR="00000000" w:rsidRPr="00000000">
        <w:rPr>
          <w:rFonts w:ascii="Times New Roman" w:cs="Times New Roman" w:eastAsia="Times New Roman" w:hAnsi="Times New Roman"/>
          <w:sz w:val="24"/>
          <w:szCs w:val="24"/>
          <w:rtl w:val="0"/>
        </w:rPr>
        <w:t xml:space="preserve"> gaining prominence as institutions mature in their use of first‑party behavioural data.</w:t>
      </w:r>
    </w:p>
    <w:p w:rsidR="00000000" w:rsidDel="00000000" w:rsidP="00000000" w:rsidRDefault="00000000" w:rsidRPr="00000000" w14:paraId="00000018">
      <w:pPr>
        <w:pStyle w:val="Heading2"/>
        <w:keepNext w:val="0"/>
        <w:keepLines w:val="0"/>
        <w:numPr>
          <w:ilvl w:val="0"/>
          <w:numId w:val="1"/>
        </w:numPr>
        <w:spacing w:after="80" w:lineRule="auto"/>
        <w:ind w:left="720" w:hanging="360"/>
        <w:rPr>
          <w:rFonts w:ascii="Times New Roman" w:cs="Times New Roman" w:eastAsia="Times New Roman" w:hAnsi="Times New Roman"/>
          <w:b w:val="1"/>
          <w:bCs w:val="1"/>
          <w:color w:val="1c4587"/>
          <w:sz w:val="34"/>
          <w:szCs w:val="34"/>
        </w:rPr>
      </w:pPr>
      <w:bookmarkStart w:colFirst="0" w:colLast="0" w:name="_asft15cyjsc8" w:id="8"/>
      <w:bookmarkEnd w:id="8"/>
      <w:r w:rsidDel="00000000" w:rsidR="00000000" w:rsidRPr="00000000">
        <w:rPr>
          <w:rFonts w:ascii="Times New Roman" w:cs="Times New Roman" w:eastAsia="Times New Roman" w:hAnsi="Times New Roman"/>
          <w:b w:val="1"/>
          <w:bCs w:val="1"/>
          <w:color w:val="1c4587"/>
          <w:sz w:val="34"/>
          <w:szCs w:val="34"/>
          <w:rtl w:val="0"/>
        </w:rPr>
        <w:t xml:space="preserve">Market Development Strategy</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 development strategy leverages L’Étudiant’s recognised position within the educational ecosystem. The organisation’s long‑standing trust capital² and its extensive behavioural dataset¹ provide a competitive advantage. As institutions increasingly seek behavioural and intention‑based indicators³,⁴,⁷, L’Étudiant’s predictive scoring and segmentation become essential for programme‑level decision‑making. The three‑year horizon allows the organisation to progressively educate institutions about the strategic value of behavioural analytics, thereby increasing adoption and supporting the transition from occasional lead purchases to subscription‑based engagement.</w:t>
      </w:r>
    </w:p>
    <w:p w:rsidR="00000000" w:rsidDel="00000000" w:rsidP="00000000" w:rsidRDefault="00000000" w:rsidRPr="00000000" w14:paraId="0000001A">
      <w:pPr>
        <w:pStyle w:val="Heading2"/>
        <w:keepNext w:val="0"/>
        <w:keepLines w:val="0"/>
        <w:numPr>
          <w:ilvl w:val="0"/>
          <w:numId w:val="1"/>
        </w:numPr>
        <w:spacing w:after="80" w:lineRule="auto"/>
        <w:ind w:left="720" w:hanging="360"/>
        <w:rPr>
          <w:rFonts w:ascii="Times New Roman" w:cs="Times New Roman" w:eastAsia="Times New Roman" w:hAnsi="Times New Roman"/>
          <w:b w:val="1"/>
          <w:bCs w:val="1"/>
          <w:color w:val="1c4587"/>
          <w:sz w:val="34"/>
          <w:szCs w:val="34"/>
        </w:rPr>
      </w:pPr>
      <w:bookmarkStart w:colFirst="0" w:colLast="0" w:name="_g63te6906k0m" w:id="9"/>
      <w:bookmarkEnd w:id="9"/>
      <w:r w:rsidDel="00000000" w:rsidR="00000000" w:rsidRPr="00000000">
        <w:rPr>
          <w:rFonts w:ascii="Times New Roman" w:cs="Times New Roman" w:eastAsia="Times New Roman" w:hAnsi="Times New Roman"/>
          <w:b w:val="1"/>
          <w:bCs w:val="1"/>
          <w:color w:val="1c4587"/>
          <w:sz w:val="34"/>
          <w:szCs w:val="34"/>
          <w:rtl w:val="0"/>
        </w:rPr>
        <w:t xml:space="preserve">Risk Assessment and Mitigation</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transformation introduces regulatory, operational and adoption‑related risks. GDPR‑related risks are mitigated by embedding compliance into the verification pipeline from the outset. Operational risks linked to scale and frequency are mitigated through automation and versioning. Adoption risks are reduced through targeted client support and the demonstrable value of refreshed intention‑based datasets. The three‑year sequencing ensures that risks are addressed progressively and proportionally to the organisation’s technical and commercial maturity.</w:t>
      </w:r>
    </w:p>
    <w:p w:rsidR="00000000" w:rsidDel="00000000" w:rsidP="00000000" w:rsidRDefault="00000000" w:rsidRPr="00000000" w14:paraId="0000001C">
      <w:pPr>
        <w:pStyle w:val="Heading2"/>
        <w:keepNext w:val="0"/>
        <w:keepLines w:val="0"/>
        <w:numPr>
          <w:ilvl w:val="0"/>
          <w:numId w:val="1"/>
        </w:numPr>
        <w:spacing w:after="80" w:lineRule="auto"/>
        <w:ind w:left="720" w:hanging="360"/>
        <w:rPr>
          <w:rFonts w:ascii="Times New Roman" w:cs="Times New Roman" w:eastAsia="Times New Roman" w:hAnsi="Times New Roman"/>
          <w:b w:val="1"/>
          <w:bCs w:val="1"/>
          <w:color w:val="1c4587"/>
          <w:sz w:val="34"/>
          <w:szCs w:val="34"/>
        </w:rPr>
      </w:pPr>
      <w:bookmarkStart w:colFirst="0" w:colLast="0" w:name="_1416wlkhouuv" w:id="10"/>
      <w:bookmarkEnd w:id="10"/>
      <w:r w:rsidDel="00000000" w:rsidR="00000000" w:rsidRPr="00000000">
        <w:rPr>
          <w:rFonts w:ascii="Times New Roman" w:cs="Times New Roman" w:eastAsia="Times New Roman" w:hAnsi="Times New Roman"/>
          <w:b w:val="1"/>
          <w:bCs w:val="1"/>
          <w:color w:val="1c4587"/>
          <w:sz w:val="34"/>
          <w:szCs w:val="34"/>
          <w:rtl w:val="0"/>
        </w:rPr>
        <w:t xml:space="preserve">Expected Outcomes</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three‑year period, L’Étudiant will have completed its transition into a Data Product Company built on recurring revenue, automated intelligence processing and deep institutional relationships. The organisation will operate a unified and predictive data pipeline, support institutions through both standardised and custom analytical offerings and maintain a stable income generated by Standard, Premium and Sur Mesure subscriptions. L’Étudiant will have moved beyond the limitations of transactional, manual lead delivery and established itself as a national leader in behavioural and intention‑based educational intelligence, reshaping the structure of its market and reinforcing its strategic authority within the French higher‑education ecosystem.</w:t>
      </w:r>
    </w:p>
    <w:p w:rsidR="00000000" w:rsidDel="00000000" w:rsidP="00000000" w:rsidRDefault="00000000" w:rsidRPr="00000000" w14:paraId="0000001E">
      <w:pPr>
        <w:pStyle w:val="Heading1"/>
        <w:keepNext w:val="0"/>
        <w:keepLines w:val="0"/>
        <w:spacing w:before="480" w:lineRule="auto"/>
        <w:rPr>
          <w:rFonts w:ascii="Times New Roman" w:cs="Times New Roman" w:eastAsia="Times New Roman" w:hAnsi="Times New Roman"/>
          <w:b w:val="1"/>
          <w:bCs w:val="1"/>
          <w:color w:val="1c4587"/>
          <w:sz w:val="34"/>
          <w:szCs w:val="34"/>
        </w:rPr>
      </w:pPr>
      <w:bookmarkStart w:colFirst="0" w:colLast="0" w:name="_32x2m7e01f05" w:id="11"/>
      <w:bookmarkEnd w:id="11"/>
      <w:r w:rsidDel="00000000" w:rsidR="00000000" w:rsidRPr="00000000">
        <w:rPr>
          <w:rFonts w:ascii="Times New Roman" w:cs="Times New Roman" w:eastAsia="Times New Roman" w:hAnsi="Times New Roman"/>
          <w:b w:val="1"/>
          <w:bCs w:val="1"/>
          <w:color w:val="1c4587"/>
          <w:sz w:val="34"/>
          <w:szCs w:val="34"/>
          <w:rtl w:val="0"/>
        </w:rPr>
        <w:t xml:space="preserve">Bibliography (MLA)</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¹ Growjo. “L’Étudiant: Revenue and Competitors.” </w:t>
      </w:r>
      <w:r w:rsidDel="00000000" w:rsidR="00000000" w:rsidRPr="00000000">
        <w:rPr>
          <w:rFonts w:ascii="Times New Roman" w:cs="Times New Roman" w:eastAsia="Times New Roman" w:hAnsi="Times New Roman"/>
          <w:i w:val="1"/>
          <w:iCs w:val="1"/>
          <w:sz w:val="24"/>
          <w:szCs w:val="24"/>
          <w:rtl w:val="0"/>
        </w:rPr>
        <w:t xml:space="preserve">Growjo Company Database</w:t>
      </w:r>
      <w:r w:rsidDel="00000000" w:rsidR="00000000" w:rsidRPr="00000000">
        <w:rPr>
          <w:rFonts w:ascii="Times New Roman" w:cs="Times New Roman" w:eastAsia="Times New Roman" w:hAnsi="Times New Roman"/>
          <w:sz w:val="24"/>
          <w:szCs w:val="24"/>
          <w:rtl w:val="0"/>
        </w:rPr>
        <w:t xml:space="preserve">, 2026.</w:t>
        <w:br w:type="textWrapping"/>
        <w:t xml:space="preserve"> ² LeadIQ. “L’Étudiant Company Overview, Contact Details &amp; Competitors.” </w:t>
      </w:r>
      <w:r w:rsidDel="00000000" w:rsidR="00000000" w:rsidRPr="00000000">
        <w:rPr>
          <w:rFonts w:ascii="Times New Roman" w:cs="Times New Roman" w:eastAsia="Times New Roman" w:hAnsi="Times New Roman"/>
          <w:i w:val="1"/>
          <w:iCs w:val="1"/>
          <w:sz w:val="24"/>
          <w:szCs w:val="24"/>
          <w:rtl w:val="0"/>
        </w:rPr>
        <w:t xml:space="preserve">LeadIQ Database</w:t>
      </w:r>
      <w:r w:rsidDel="00000000" w:rsidR="00000000" w:rsidRPr="00000000">
        <w:rPr>
          <w:rFonts w:ascii="Times New Roman" w:cs="Times New Roman" w:eastAsia="Times New Roman" w:hAnsi="Times New Roman"/>
          <w:sz w:val="24"/>
          <w:szCs w:val="24"/>
          <w:rtl w:val="0"/>
        </w:rPr>
        <w:t xml:space="preserve">, 2026.</w:t>
        <w:br w:type="textWrapping"/>
        <w:t xml:space="preserve"> ³ Marigold (Selligent). </w:t>
      </w:r>
      <w:r w:rsidDel="00000000" w:rsidR="00000000" w:rsidRPr="00000000">
        <w:rPr>
          <w:rFonts w:ascii="Times New Roman" w:cs="Times New Roman" w:eastAsia="Times New Roman" w:hAnsi="Times New Roman"/>
          <w:i w:val="1"/>
          <w:iCs w:val="1"/>
          <w:sz w:val="24"/>
          <w:szCs w:val="24"/>
          <w:rtl w:val="0"/>
        </w:rPr>
        <w:t xml:space="preserve">L’Étudiant: Personalized Journeys Case Study.</w:t>
      </w:r>
      <w:r w:rsidDel="00000000" w:rsidR="00000000" w:rsidRPr="00000000">
        <w:rPr>
          <w:rFonts w:ascii="Times New Roman" w:cs="Times New Roman" w:eastAsia="Times New Roman" w:hAnsi="Times New Roman"/>
          <w:sz w:val="24"/>
          <w:szCs w:val="24"/>
          <w:rtl w:val="0"/>
        </w:rPr>
        <w:t xml:space="preserve"> Marigold Customer Stories, 2024.</w:t>
        <w:br w:type="textWrapping"/>
        <w:t xml:space="preserve"> ⁴ Market Research Future. </w:t>
      </w:r>
      <w:r w:rsidDel="00000000" w:rsidR="00000000" w:rsidRPr="00000000">
        <w:rPr>
          <w:rFonts w:ascii="Times New Roman" w:cs="Times New Roman" w:eastAsia="Times New Roman" w:hAnsi="Times New Roman"/>
          <w:i w:val="1"/>
          <w:iCs w:val="1"/>
          <w:sz w:val="24"/>
          <w:szCs w:val="24"/>
          <w:rtl w:val="0"/>
        </w:rPr>
        <w:t xml:space="preserve">Educational Data Analytics Market Report 2025–2030.</w:t>
      </w:r>
      <w:r w:rsidDel="00000000" w:rsidR="00000000" w:rsidRPr="00000000">
        <w:rPr>
          <w:rFonts w:ascii="Times New Roman" w:cs="Times New Roman" w:eastAsia="Times New Roman" w:hAnsi="Times New Roman"/>
          <w:sz w:val="24"/>
          <w:szCs w:val="24"/>
          <w:rtl w:val="0"/>
        </w:rPr>
        <w:t xml:space="preserve"> 2025.</w:t>
        <w:br w:type="textWrapping"/>
        <w:t xml:space="preserve"> ⁵ Google. </w:t>
      </w:r>
      <w:r w:rsidDel="00000000" w:rsidR="00000000" w:rsidRPr="00000000">
        <w:rPr>
          <w:rFonts w:ascii="Times New Roman" w:cs="Times New Roman" w:eastAsia="Times New Roman" w:hAnsi="Times New Roman"/>
          <w:i w:val="1"/>
          <w:iCs w:val="1"/>
          <w:sz w:val="24"/>
          <w:szCs w:val="24"/>
          <w:rtl w:val="0"/>
        </w:rPr>
        <w:t xml:space="preserve">Privacy Sandbox: Third‑Party Cookie Deprecation.</w:t>
      </w:r>
      <w:r w:rsidDel="00000000" w:rsidR="00000000" w:rsidRPr="00000000">
        <w:rPr>
          <w:rFonts w:ascii="Times New Roman" w:cs="Times New Roman" w:eastAsia="Times New Roman" w:hAnsi="Times New Roman"/>
          <w:sz w:val="24"/>
          <w:szCs w:val="24"/>
          <w:rtl w:val="0"/>
        </w:rPr>
        <w:t xml:space="preserve"> Google Technical Documentation, 2026.</w:t>
        <w:br w:type="textWrapping"/>
        <w:t xml:space="preserve"> ⁶ Apple. </w:t>
      </w:r>
      <w:r w:rsidDel="00000000" w:rsidR="00000000" w:rsidRPr="00000000">
        <w:rPr>
          <w:rFonts w:ascii="Times New Roman" w:cs="Times New Roman" w:eastAsia="Times New Roman" w:hAnsi="Times New Roman"/>
          <w:i w:val="1"/>
          <w:iCs w:val="1"/>
          <w:sz w:val="24"/>
          <w:szCs w:val="24"/>
          <w:rtl w:val="0"/>
        </w:rPr>
        <w:t xml:space="preserve">App Tracking Transparency Technical Overview.</w:t>
      </w:r>
      <w:r w:rsidDel="00000000" w:rsidR="00000000" w:rsidRPr="00000000">
        <w:rPr>
          <w:rFonts w:ascii="Times New Roman" w:cs="Times New Roman" w:eastAsia="Times New Roman" w:hAnsi="Times New Roman"/>
          <w:sz w:val="24"/>
          <w:szCs w:val="24"/>
          <w:rtl w:val="0"/>
        </w:rPr>
        <w:t xml:space="preserve"> Apple Developer Documentation, 2026.</w:t>
        <w:br w:type="textWrapping"/>
        <w:t xml:space="preserve"> ⁷ HolonIQ. </w:t>
      </w:r>
      <w:r w:rsidDel="00000000" w:rsidR="00000000" w:rsidRPr="00000000">
        <w:rPr>
          <w:rFonts w:ascii="Times New Roman" w:cs="Times New Roman" w:eastAsia="Times New Roman" w:hAnsi="Times New Roman"/>
          <w:i w:val="1"/>
          <w:iCs w:val="1"/>
          <w:sz w:val="24"/>
          <w:szCs w:val="24"/>
          <w:rtl w:val="0"/>
        </w:rPr>
        <w:t xml:space="preserve">Global Education Market Intelligence 2025.</w:t>
      </w:r>
      <w:r w:rsidDel="00000000" w:rsidR="00000000" w:rsidRPr="00000000">
        <w:rPr>
          <w:rFonts w:ascii="Times New Roman" w:cs="Times New Roman" w:eastAsia="Times New Roman" w:hAnsi="Times New Roman"/>
          <w:sz w:val="24"/>
          <w:szCs w:val="24"/>
          <w:rtl w:val="0"/>
        </w:rPr>
        <w:t xml:space="preserve"> HolonIQ Research, 2025.</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