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035CA0"/>
          <w:spacing w:val="30"/>
          <w:sz w:val="17"/>
          <w:szCs w:val="17"/>
        </w:rPr>
        <w:t xml:space="preserve">ASSIGNMENT 3 · TEAM PROJECT · AFTER SESSION 3</w:t>
      </w:r>
    </w:p>
    <w:p>
      <w:pPr>
        <w:pStyle w:val="Heading1"/>
        <w:spacing w:after="160"/>
      </w:pPr>
      <w:r>
        <w:rPr>
          <w:rFonts w:ascii="Arial" w:cs="Arial" w:eastAsia="Arial" w:hAnsi="Arial"/>
          <w:b/>
          <w:bCs/>
          <w:color w:val="202448"/>
          <w:sz w:val="36"/>
          <w:szCs w:val="36"/>
        </w:rPr>
        <w:t xml:space="preserve">From the number to a first version: brief, prototype, users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7738"/>
      </w:tblGrid>
      <w:tr>
        <w:trPr>
          <w:cantSplit/>
        </w:trPr>
        <w:tc>
          <w:tcPr>
            <w:tcW w:type="dxa" w:w="1900"/>
            <w:tcBorders>
              <w:top w:val="single" w:color="D5DEEA" w:sz="4"/>
              <w:left w:val="single" w:color="D5DEEA" w:sz="4"/>
              <w:bottom w:val="single" w:color="D5DEEA" w:sz="4"/>
              <w:right w:val="single" w:color="D5DEEA" w:sz="4"/>
            </w:tcBorders>
            <w:shd w:fill="EAEFF6" w:color="auto" w:val="clear"/>
            <w:tcMar>
              <w:top w:type="dxa" w:w="90"/>
              <w:left w:type="dxa" w:w="140"/>
              <w:bottom w:type="dxa" w:w="90"/>
              <w:right w:type="dxa" w:w="140"/>
            </w:tcMar>
          </w:tcPr>
          <w:p>
            <w:pPr>
              <w:spacing w:after="30" w:before="0" w:line="264"/>
            </w:pPr>
            <w:r>
              <w:rPr>
                <w:rFonts w:ascii="Arial" w:cs="Arial" w:eastAsia="Arial" w:hAnsi="Arial"/>
                <w:b/>
                <w:bCs/>
                <w:color w:val="202448"/>
                <w:sz w:val="20"/>
                <w:szCs w:val="20"/>
              </w:rPr>
              <w:t xml:space="preserve">Due</w:t>
            </w:r>
          </w:p>
        </w:tc>
        <w:tc>
          <w:tcPr>
            <w:tcW w:type="dxa" w:w="7738"/>
            <w:tcBorders>
              <w:top w:val="single" w:color="D5DEEA" w:sz="4"/>
              <w:left w:val="single" w:color="D5DEEA" w:sz="4"/>
              <w:bottom w:val="single" w:color="D5DEEA" w:sz="4"/>
              <w:right w:val="single" w:color="D5DEEA" w:sz="4"/>
            </w:tcBorders>
            <w:tcMar>
              <w:top w:type="dxa" w:w="90"/>
              <w:left w:type="dxa" w:w="140"/>
              <w:bottom w:type="dxa" w:w="90"/>
              <w:right w:type="dxa" w:w="140"/>
            </w:tcMar>
          </w:tcPr>
          <w:p>
            <w:pPr>
              <w:spacing w:after="30" w:before="0" w:line="264"/>
            </w:pPr>
            <w:r>
              <w:rPr>
                <w:rFonts w:ascii="Arial" w:cs="Arial" w:eastAsia="Arial" w:hAnsi="Arial"/>
                <w:b w:val="false"/>
                <w:bCs w:val="false"/>
                <w:color w:val="1F2937"/>
                <w:sz w:val="20"/>
                <w:szCs w:val="20"/>
              </w:rPr>
              <w:t xml:space="preserve">Before Session 5 — Friday 6 November 2026, start of class</w:t>
            </w:r>
          </w:p>
        </w:tc>
      </w:tr>
      <w:tr>
        <w:trPr>
          <w:cantSplit/>
        </w:trPr>
        <w:tc>
          <w:tcPr>
            <w:tcW w:type="dxa" w:w="1900"/>
            <w:tcBorders>
              <w:top w:val="single" w:color="D5DEEA" w:sz="4"/>
              <w:left w:val="single" w:color="D5DEEA" w:sz="4"/>
              <w:bottom w:val="single" w:color="D5DEEA" w:sz="4"/>
              <w:right w:val="single" w:color="D5DEEA" w:sz="4"/>
            </w:tcBorders>
            <w:shd w:fill="EAEFF6" w:color="auto" w:val="clear"/>
            <w:tcMar>
              <w:top w:type="dxa" w:w="90"/>
              <w:left w:type="dxa" w:w="140"/>
              <w:bottom w:type="dxa" w:w="90"/>
              <w:right w:type="dxa" w:w="140"/>
            </w:tcMar>
          </w:tcPr>
          <w:p>
            <w:pPr>
              <w:spacing w:after="30" w:before="0" w:line="264"/>
            </w:pPr>
            <w:r>
              <w:rPr>
                <w:rFonts w:ascii="Arial" w:cs="Arial" w:eastAsia="Arial" w:hAnsi="Arial"/>
                <w:b/>
                <w:bCs/>
                <w:color w:val="202448"/>
                <w:sz w:val="20"/>
                <w:szCs w:val="20"/>
              </w:rPr>
              <w:t xml:space="preserve">Team</w:t>
            </w:r>
          </w:p>
        </w:tc>
        <w:tc>
          <w:tcPr>
            <w:tcW w:type="dxa" w:w="7738"/>
            <w:tcBorders>
              <w:top w:val="single" w:color="D5DEEA" w:sz="4"/>
              <w:left w:val="single" w:color="D5DEEA" w:sz="4"/>
              <w:bottom w:val="single" w:color="D5DEEA" w:sz="4"/>
              <w:right w:val="single" w:color="D5DEEA" w:sz="4"/>
            </w:tcBorders>
            <w:tcMar>
              <w:top w:type="dxa" w:w="90"/>
              <w:left w:type="dxa" w:w="140"/>
              <w:bottom w:type="dxa" w:w="90"/>
              <w:right w:type="dxa" w:w="140"/>
            </w:tcMar>
          </w:tcPr>
          <w:p>
            <w:pPr>
              <w:spacing w:after="30" w:before="0" w:line="264"/>
            </w:pPr>
            <w:r>
              <w:rPr>
                <w:rFonts w:ascii="Arial" w:cs="Arial" w:eastAsia="Arial" w:hAnsi="Arial"/>
                <w:b w:val="false"/>
                <w:bCs w:val="false"/>
                <w:color w:val="1F2937"/>
                <w:sz w:val="20"/>
                <w:szCs w:val="20"/>
              </w:rPr>
              <w:t xml:space="preserve">Same team, same agent as Assignments 1 and 2</w:t>
            </w:r>
          </w:p>
        </w:tc>
      </w:tr>
      <w:tr>
        <w:trPr>
          <w:cantSplit/>
        </w:trPr>
        <w:tc>
          <w:tcPr>
            <w:tcW w:type="dxa" w:w="1900"/>
            <w:tcBorders>
              <w:top w:val="single" w:color="D5DEEA" w:sz="4"/>
              <w:left w:val="single" w:color="D5DEEA" w:sz="4"/>
              <w:bottom w:val="single" w:color="D5DEEA" w:sz="4"/>
              <w:right w:val="single" w:color="D5DEEA" w:sz="4"/>
            </w:tcBorders>
            <w:shd w:fill="EAEFF6" w:color="auto" w:val="clear"/>
            <w:tcMar>
              <w:top w:type="dxa" w:w="90"/>
              <w:left w:type="dxa" w:w="140"/>
              <w:bottom w:type="dxa" w:w="90"/>
              <w:right w:type="dxa" w:w="140"/>
            </w:tcMar>
          </w:tcPr>
          <w:p>
            <w:pPr>
              <w:spacing w:after="30" w:before="0" w:line="264"/>
            </w:pPr>
            <w:r>
              <w:rPr>
                <w:rFonts w:ascii="Arial" w:cs="Arial" w:eastAsia="Arial" w:hAnsi="Arial"/>
                <w:b/>
                <w:bCs/>
                <w:color w:val="202448"/>
                <w:sz w:val="20"/>
                <w:szCs w:val="20"/>
              </w:rPr>
              <w:t xml:space="preserve">Starts from</w:t>
            </w:r>
          </w:p>
        </w:tc>
        <w:tc>
          <w:tcPr>
            <w:tcW w:type="dxa" w:w="7738"/>
            <w:tcBorders>
              <w:top w:val="single" w:color="D5DEEA" w:sz="4"/>
              <w:left w:val="single" w:color="D5DEEA" w:sz="4"/>
              <w:bottom w:val="single" w:color="D5DEEA" w:sz="4"/>
              <w:right w:val="single" w:color="D5DEEA" w:sz="4"/>
            </w:tcBorders>
            <w:tcMar>
              <w:top w:type="dxa" w:w="90"/>
              <w:left w:type="dxa" w:w="140"/>
              <w:bottom w:type="dxa" w:w="90"/>
              <w:right w:type="dxa" w:w="140"/>
            </w:tcMar>
          </w:tcPr>
          <w:p>
            <w:pPr>
              <w:spacing w:after="30" w:before="0" w:line="264"/>
            </w:pPr>
            <w:r>
              <w:rPr>
                <w:rFonts w:ascii="Arial" w:cs="Arial" w:eastAsia="Arial" w:hAnsi="Arial"/>
                <w:b w:val="false"/>
                <w:bCs w:val="false"/>
                <w:color w:val="1F2937"/>
                <w:sz w:val="20"/>
                <w:szCs w:val="20"/>
              </w:rPr>
              <w:t xml:space="preserve">01_problem_statement.md · 02_sizing.xlsx (your flip point) · 02_investment_memo.md</w:t>
            </w:r>
          </w:p>
        </w:tc>
      </w:tr>
      <w:tr>
        <w:trPr>
          <w:cantSplit/>
        </w:trPr>
        <w:tc>
          <w:tcPr>
            <w:tcW w:type="dxa" w:w="1900"/>
            <w:tcBorders>
              <w:top w:val="single" w:color="D5DEEA" w:sz="4"/>
              <w:left w:val="single" w:color="D5DEEA" w:sz="4"/>
              <w:bottom w:val="single" w:color="D5DEEA" w:sz="4"/>
              <w:right w:val="single" w:color="D5DEEA" w:sz="4"/>
            </w:tcBorders>
            <w:shd w:fill="EAEFF6" w:color="auto" w:val="clear"/>
            <w:tcMar>
              <w:top w:type="dxa" w:w="90"/>
              <w:left w:type="dxa" w:w="140"/>
              <w:bottom w:type="dxa" w:w="90"/>
              <w:right w:type="dxa" w:w="140"/>
            </w:tcMar>
          </w:tcPr>
          <w:p>
            <w:pPr>
              <w:spacing w:after="30" w:before="0" w:line="264"/>
            </w:pPr>
            <w:r>
              <w:rPr>
                <w:rFonts w:ascii="Arial" w:cs="Arial" w:eastAsia="Arial" w:hAnsi="Arial"/>
                <w:b/>
                <w:bCs/>
                <w:color w:val="202448"/>
                <w:sz w:val="20"/>
                <w:szCs w:val="20"/>
              </w:rPr>
              <w:t xml:space="preserve">Files</w:t>
            </w:r>
          </w:p>
        </w:tc>
        <w:tc>
          <w:tcPr>
            <w:tcW w:type="dxa" w:w="7738"/>
            <w:tcBorders>
              <w:top w:val="single" w:color="D5DEEA" w:sz="4"/>
              <w:left w:val="single" w:color="D5DEEA" w:sz="4"/>
              <w:bottom w:val="single" w:color="D5DEEA" w:sz="4"/>
              <w:right w:val="single" w:color="D5DEEA" w:sz="4"/>
            </w:tcBorders>
            <w:tcMar>
              <w:top w:type="dxa" w:w="90"/>
              <w:left w:type="dxa" w:w="140"/>
              <w:bottom w:type="dxa" w:w="90"/>
              <w:right w:type="dxa" w:w="140"/>
            </w:tcMar>
          </w:tcPr>
          <w:p>
            <w:pPr>
              <w:spacing w:after="30" w:before="0" w:line="264"/>
            </w:pPr>
            <w:r>
              <w:rPr>
                <w:rFonts w:ascii="Arial" w:cs="Arial" w:eastAsia="Arial" w:hAnsi="Arial"/>
                <w:b w:val="false"/>
                <w:bCs w:val="false"/>
                <w:color w:val="1F2937"/>
                <w:sz w:val="20"/>
                <w:szCs w:val="20"/>
              </w:rPr>
              <w:t xml:space="preserve">03_product_brief.md (v1 → v2) · 03_ai_lean_canvas.md · 03_user_research.md · 03_prototype_link.md · spec.md (skeleton) · evals/eval_set_v0.csv (20 cases) · governance.md (Session 3 section) — templates in S3_templates.zip</w:t>
            </w:r>
          </w:p>
        </w:tc>
      </w:tr>
      <w:tr>
        <w:trPr>
          <w:cantSplit/>
        </w:trPr>
        <w:tc>
          <w:tcPr>
            <w:tcW w:type="dxa" w:w="1900"/>
            <w:tcBorders>
              <w:top w:val="single" w:color="D5DEEA" w:sz="4"/>
              <w:left w:val="single" w:color="D5DEEA" w:sz="4"/>
              <w:bottom w:val="single" w:color="D5DEEA" w:sz="4"/>
              <w:right w:val="single" w:color="D5DEEA" w:sz="4"/>
            </w:tcBorders>
            <w:shd w:fill="EAEFF6" w:color="auto" w:val="clear"/>
            <w:tcMar>
              <w:top w:type="dxa" w:w="90"/>
              <w:left w:type="dxa" w:w="140"/>
              <w:bottom w:type="dxa" w:w="90"/>
              <w:right w:type="dxa" w:w="140"/>
            </w:tcMar>
          </w:tcPr>
          <w:p>
            <w:pPr>
              <w:spacing w:after="30" w:before="0" w:line="264"/>
            </w:pPr>
            <w:r>
              <w:rPr>
                <w:rFonts w:ascii="Arial" w:cs="Arial" w:eastAsia="Arial" w:hAnsi="Arial"/>
                <w:b/>
                <w:bCs/>
                <w:color w:val="202448"/>
                <w:sz w:val="20"/>
                <w:szCs w:val="20"/>
              </w:rPr>
              <w:t xml:space="preserve">Rule</w:t>
            </w:r>
          </w:p>
        </w:tc>
        <w:tc>
          <w:tcPr>
            <w:tcW w:type="dxa" w:w="7738"/>
            <w:tcBorders>
              <w:top w:val="single" w:color="D5DEEA" w:sz="4"/>
              <w:left w:val="single" w:color="D5DEEA" w:sz="4"/>
              <w:bottom w:val="single" w:color="D5DEEA" w:sz="4"/>
              <w:right w:val="single" w:color="D5DEEA" w:sz="4"/>
            </w:tcBorders>
            <w:tcMar>
              <w:top w:type="dxa" w:w="90"/>
              <w:left w:type="dxa" w:w="140"/>
              <w:bottom w:type="dxa" w:w="90"/>
              <w:right w:type="dxa" w:w="140"/>
            </w:tcMar>
          </w:tcPr>
          <w:p>
            <w:pPr>
              <w:spacing w:after="30" w:before="0" w:line="264"/>
            </w:pPr>
            <w:r>
              <w:rPr>
                <w:rFonts w:ascii="Arial" w:cs="Arial" w:eastAsia="Arial" w:hAnsi="Arial"/>
                <w:b w:val="false"/>
                <w:bCs w:val="false"/>
                <w:color w:val="1F2937"/>
                <w:sz w:val="20"/>
                <w:szCs w:val="20"/>
              </w:rPr>
              <w:t xml:space="preserve">Every member authors at least one commit on these files, with their own Git account</w:t>
            </w:r>
          </w:p>
        </w:tc>
      </w:tr>
    </w:tbl>
    <w:p>
      <w:pPr>
        <w:pStyle w:val="Heading2"/>
        <w:keepNext/>
        <w:pBdr>
          <w:bottom w:val="single" w:color="2EAEE0" w:sz="6" w:space="4"/>
        </w:pBdr>
        <w:spacing w:after="120" w:before="280"/>
      </w:pPr>
      <w:r>
        <w:rPr>
          <w:rFonts w:ascii="Arial" w:cs="Arial" w:eastAsia="Arial" w:hAnsi="Arial"/>
          <w:b/>
          <w:bCs/>
          <w:color w:val="202448"/>
          <w:sz w:val="26"/>
          <w:szCs w:val="26"/>
        </w:rPr>
        <w:t xml:space="preserve">Why this assignment</w:t>
      </w:r>
    </w:p>
    <w:p>
      <w:pPr>
        <w:spacing w:after="120" w:before="0" w:line="264"/>
      </w:pPr>
      <w:r>
        <w:rPr>
          <w:rFonts w:ascii="Arial" w:cs="Arial" w:eastAsia="Arial" w:hAnsi="Arial"/>
          <w:color w:val="1F2937"/>
          <w:sz w:val="20"/>
          <w:szCs w:val="20"/>
        </w:rPr>
        <w:t xml:space="preserve">Session 2 gave your agent a number and one assumption that decides everything — the flip point. This assignment turns that number into the smallest first version that can pass or fail it, with real tickets and real users. Most AI products fail here in one of three ways: a brief nobody can build (under-specifying), an agent where a rule would do (over-engineering), or a design only its authors have seen (designing at a desk). You will avoid all three, and you will show the result to people before the prototype is built for real.</w:t>
      </w:r>
    </w:p>
    <w:p>
      <w:pPr>
        <w:pStyle w:val="Heading2"/>
        <w:keepNext/>
        <w:pBdr>
          <w:bottom w:val="single" w:color="2EAEE0" w:sz="6" w:space="4"/>
        </w:pBdr>
        <w:spacing w:after="120" w:before="280"/>
      </w:pPr>
      <w:r>
        <w:rPr>
          <w:rFonts w:ascii="Arial" w:cs="Arial" w:eastAsia="Arial" w:hAnsi="Arial"/>
          <w:b/>
          <w:bCs/>
          <w:color w:val="202448"/>
          <w:sz w:val="26"/>
          <w:szCs w:val="26"/>
        </w:rPr>
        <w:t xml:space="preserve">What to do</w:t>
      </w:r>
    </w:p>
    <w:p>
      <w:pPr>
        <w:pStyle w:val="ListParagraph"/>
        <w:numPr>
          <w:ilvl w:val="0"/>
          <w:numId w:val="2"/>
        </w:numPr>
        <w:spacing w:after="110" w:line="264"/>
      </w:pPr>
      <w:r>
        <w:rPr>
          <w:rFonts w:ascii="Arial" w:cs="Arial" w:eastAsia="Arial" w:hAnsi="Arial"/>
          <w:b/>
          <w:bCs/>
          <w:color w:val="1F2937"/>
          <w:sz w:val="20"/>
          <w:szCs w:val="20"/>
        </w:rPr>
        <w:t xml:space="preserve">Map the process as it is today. </w:t>
      </w:r>
      <w:r>
        <w:rPr>
          <w:rFonts w:ascii="Arial" w:cs="Arial" w:eastAsia="Arial" w:hAnsi="Arial"/>
          <w:color w:val="1F2937"/>
          <w:sz w:val="20"/>
          <w:szCs w:val="20"/>
        </w:rPr>
        <w:t xml:space="preserve">Start from your persona and journey map (Session 1): the steps, who does each one, minutes, error rate, cost of an error. Give each number a source type (measured, analogy, guess). Name the two steps where the pain sits.</w:t>
      </w:r>
    </w:p>
    <w:p>
      <w:pPr>
        <w:pStyle w:val="ListParagraph"/>
        <w:numPr>
          <w:ilvl w:val="0"/>
          <w:numId w:val="2"/>
        </w:numPr>
        <w:spacing w:after="110" w:line="264"/>
      </w:pPr>
      <w:r>
        <w:rPr>
          <w:rFonts w:ascii="Arial" w:cs="Arial" w:eastAsia="Arial" w:hAnsi="Arial"/>
          <w:b/>
          <w:bCs/>
          <w:color w:val="1F2937"/>
          <w:sz w:val="20"/>
          <w:szCs w:val="20"/>
        </w:rPr>
        <w:t xml:space="preserve">Redesign it. </w:t>
      </w:r>
      <w:r>
        <w:rPr>
          <w:rFonts w:ascii="Arial" w:cs="Arial" w:eastAsia="Arial" w:hAnsi="Arial"/>
          <w:color w:val="1F2937"/>
          <w:sz w:val="20"/>
          <w:szCs w:val="20"/>
        </w:rPr>
        <w:t xml:space="preserve">For each step: automate, augment or keep human — with the test it fails among the eight (Brynjolfsson &amp; Mitchell) and the cost of an error. Give each step a trust level on the Session 1 scale (L1 suggests · L2 drafts, a person approves · L3 acts on a scope, a person samples · L4 acts alone under a threshold) or “person only”. Draw the way back to a person first. Count the minutes of human time after, and give each step one metric.</w:t>
      </w:r>
    </w:p>
    <w:p>
      <w:pPr>
        <w:pStyle w:val="ListParagraph"/>
        <w:numPr>
          <w:ilvl w:val="0"/>
          <w:numId w:val="2"/>
        </w:numPr>
        <w:spacing w:after="110" w:line="264"/>
      </w:pPr>
      <w:r>
        <w:rPr>
          <w:rFonts w:ascii="Arial" w:cs="Arial" w:eastAsia="Arial" w:hAnsi="Arial"/>
          <w:b/>
          <w:bCs/>
          <w:color w:val="1F2937"/>
          <w:sz w:val="20"/>
          <w:szCs w:val="20"/>
        </w:rPr>
        <w:t xml:space="preserve">Cut the features. </w:t>
      </w:r>
      <w:r>
        <w:rPr>
          <w:rFonts w:ascii="Arial" w:cs="Arial" w:eastAsia="Arial" w:hAnsi="Arial"/>
          <w:color w:val="1F2937"/>
          <w:sz w:val="20"/>
          <w:szCs w:val="20"/>
        </w:rPr>
        <w:t xml:space="preserve">List eight candidate features, score them with RICE (reach from your 02_sizing.xlsx), then MoSCoW: at most 4 MUST, at least 5 WON’T. The feature that tests your flip assumption is a MUST, even if its RICE is not the highest — say why. The WON’T column is your out-of-scope list.</w:t>
      </w:r>
    </w:p>
    <w:p>
      <w:pPr>
        <w:pStyle w:val="ListParagraph"/>
        <w:numPr>
          <w:ilvl w:val="0"/>
          <w:numId w:val="2"/>
        </w:numPr>
        <w:spacing w:after="110" w:line="264"/>
      </w:pPr>
      <w:r>
        <w:rPr>
          <w:rFonts w:ascii="Arial" w:cs="Arial" w:eastAsia="Arial" w:hAnsi="Arial"/>
          <w:b/>
          <w:bCs/>
          <w:color w:val="1F2937"/>
          <w:sz w:val="20"/>
          <w:szCs w:val="20"/>
        </w:rPr>
        <w:t xml:space="preserve">Choose the model, part by part. </w:t>
      </w:r>
      <w:r>
        <w:rPr>
          <w:rFonts w:ascii="Arial" w:cs="Arial" w:eastAsia="Arial" w:hAnsi="Arial"/>
          <w:color w:val="1F2937"/>
          <w:sz w:val="20"/>
          <w:szCs w:val="20"/>
        </w:rPr>
        <w:t xml:space="preserve">One rung of the ladder per component (rules · classical ML · pretrained model · hybrid) and one line on why the rung below fails.</w:t>
      </w:r>
    </w:p>
    <w:p>
      <w:pPr>
        <w:pStyle w:val="ListParagraph"/>
        <w:numPr>
          <w:ilvl w:val="0"/>
          <w:numId w:val="2"/>
        </w:numPr>
        <w:spacing w:after="110" w:line="264"/>
      </w:pPr>
      <w:r>
        <w:rPr>
          <w:rFonts w:ascii="Arial" w:cs="Arial" w:eastAsia="Arial" w:hAnsi="Arial"/>
          <w:b/>
          <w:bCs/>
          <w:color w:val="1F2937"/>
          <w:sz w:val="20"/>
          <w:szCs w:val="20"/>
        </w:rPr>
        <w:t xml:space="preserve">Audit the data and update governance.md. </w:t>
      </w:r>
      <w:r>
        <w:rPr>
          <w:rFonts w:ascii="Arial" w:cs="Arial" w:eastAsia="Arial" w:hAnsi="Arial"/>
          <w:color w:val="1F2937"/>
          <w:sz w:val="20"/>
          <w:szCs w:val="20"/>
        </w:rPr>
        <w:t xml:space="preserve">Answer the six questions (provenance, volume &amp; labels, coverage, rights, leakage, freshness), then purpose and retention, isolation between customers, known gaps by segment, and the trust level per step. Paste governance_S3_section.md into governance.md.</w:t>
      </w:r>
    </w:p>
    <w:p>
      <w:pPr>
        <w:pStyle w:val="ListParagraph"/>
        <w:numPr>
          <w:ilvl w:val="0"/>
          <w:numId w:val="2"/>
        </w:numPr>
        <w:spacing w:after="110" w:line="264"/>
      </w:pPr>
      <w:r>
        <w:rPr>
          <w:rFonts w:ascii="Arial" w:cs="Arial" w:eastAsia="Arial" w:hAnsi="Arial"/>
          <w:b/>
          <w:bCs/>
          <w:color w:val="1F2937"/>
          <w:sz w:val="20"/>
          <w:szCs w:val="20"/>
        </w:rPr>
        <w:t xml:space="preserve">Write the success criterion — one sentence. </w:t>
      </w:r>
      <w:r>
        <w:rPr>
          <w:rFonts w:ascii="Arial" w:cs="Arial" w:eastAsia="Arial" w:hAnsi="Arial"/>
          <w:color w:val="1F2937"/>
          <w:sz w:val="20"/>
          <w:szCs w:val="20"/>
        </w:rPr>
        <w:t xml:space="preserve">Metric, threshold, guardrail, data set, date. The threshold is your own flip point from 02_sizing.xlsx (for Paylio: about 65 % of automatable “how do I” tickets ≈ 45 % of all of them). Example: “By 6 November, on our 200-ticket eval-set, at least 45 % of ‘how do I’ tickets get a draft that two graders would send without editing — and no draft quotes a price or promises a refund.”</w:t>
      </w:r>
    </w:p>
    <w:p>
      <w:pPr>
        <w:pStyle w:val="ListParagraph"/>
        <w:numPr>
          <w:ilvl w:val="0"/>
          <w:numId w:val="2"/>
        </w:numPr>
        <w:spacing w:after="110" w:line="264"/>
      </w:pPr>
      <w:r>
        <w:rPr>
          <w:rFonts w:ascii="Arial" w:cs="Arial" w:eastAsia="Arial" w:hAnsi="Arial"/>
          <w:b/>
          <w:bCs/>
          <w:color w:val="1F2937"/>
          <w:sz w:val="20"/>
          <w:szCs w:val="20"/>
        </w:rPr>
        <w:t xml:space="preserve">Write 03_product_brief.md v1 and the AI Lean Canvas. </w:t>
      </w:r>
      <w:r>
        <w:rPr>
          <w:rFonts w:ascii="Arial" w:cs="Arial" w:eastAsia="Arial" w:hAnsi="Arial"/>
          <w:color w:val="1F2937"/>
          <w:sz w:val="20"/>
          <w:szCs w:val="20"/>
        </w:rPr>
        <w:t xml:space="preserve">One page each. Most answers already exist in your 01 and 02 files: reuse them.</w:t>
      </w:r>
    </w:p>
    <w:p>
      <w:pPr>
        <w:pStyle w:val="ListParagraph"/>
        <w:numPr>
          <w:ilvl w:val="0"/>
          <w:numId w:val="2"/>
        </w:numPr>
        <w:spacing w:after="110" w:line="264"/>
      </w:pPr>
      <w:r>
        <w:rPr>
          <w:rFonts w:ascii="Arial" w:cs="Arial" w:eastAsia="Arial" w:hAnsi="Arial"/>
          <w:b/>
          <w:bCs/>
          <w:color w:val="1F2937"/>
          <w:sz w:val="20"/>
          <w:szCs w:val="20"/>
        </w:rPr>
        <w:t xml:space="preserve">Run the design loop once. </w:t>
      </w:r>
      <w:r>
        <w:rPr>
          <w:rFonts w:ascii="Arial" w:cs="Arial" w:eastAsia="Arial" w:hAnsi="Arial"/>
          <w:color w:val="1F2937"/>
          <w:sz w:val="20"/>
          <w:szCs w:val="20"/>
        </w:rPr>
        <w:t xml:space="preserve">Three conversations of 20 minutes, Mom Test rules (past behaviour, no pitching, never “would you use…?”) — notes in 03_user_research.md. One clickable prototype of the surface, made in under an hour (Claude Design, Figma Make, Lovable, v0, Bolt or a Claude artifact) — link and prompt in 03_prototype_link.md. Two of your three users try one task, thinking aloud.</w:t>
      </w:r>
    </w:p>
    <w:p>
      <w:pPr>
        <w:pStyle w:val="ListParagraph"/>
        <w:numPr>
          <w:ilvl w:val="0"/>
          <w:numId w:val="2"/>
        </w:numPr>
        <w:spacing w:after="110" w:line="264"/>
      </w:pPr>
      <w:r>
        <w:rPr>
          <w:rFonts w:ascii="Arial" w:cs="Arial" w:eastAsia="Arial" w:hAnsi="Arial"/>
          <w:b/>
          <w:bCs/>
          <w:color w:val="1F2937"/>
          <w:sz w:val="20"/>
          <w:szCs w:val="20"/>
        </w:rPr>
        <w:t xml:space="preserve">Write brief v2, the spec skeleton and the first 20 cases of your eval-set. </w:t>
      </w:r>
      <w:r>
        <w:rPr>
          <w:rFonts w:ascii="Arial" w:cs="Arial" w:eastAsia="Arial" w:hAnsi="Arial"/>
          <w:color w:val="1F2937"/>
          <w:sz w:val="20"/>
          <w:szCs w:val="20"/>
        </w:rPr>
        <w:t xml:space="preserve">Add “What the users changed” (each change with its evidence) and “What they could not decide”. Fill the spec.md skeleton from the brief. Put 20 cases in evals/eval_set_v0.csv: what your agent receives, the expected output or action, the evidence, hand-over yes/no, the segment — a ticket for a support agent, a hotel’s reviews for P8, a document or a record for your own project (one example row per proposal is in the template). No data for your project? Generate the inputs (recipe and prompt in evals/README_eval_set.md), label them by hand, write the origin in every row. Never real customer data.</w:t>
      </w:r>
    </w:p>
    <w:p>
      <w:pPr>
        <w:pStyle w:val="Heading2"/>
        <w:keepNext/>
        <w:pBdr>
          <w:bottom w:val="single" w:color="2EAEE0" w:sz="6" w:space="4"/>
        </w:pBdr>
        <w:spacing w:after="120" w:before="280"/>
      </w:pPr>
      <w:r>
        <w:rPr>
          <w:rFonts w:ascii="Arial" w:cs="Arial" w:eastAsia="Arial" w:hAnsi="Arial"/>
          <w:b/>
          <w:bCs/>
          <w:color w:val="202448"/>
          <w:sz w:val="26"/>
          <w:szCs w:val="26"/>
        </w:rPr>
        <w:t xml:space="preserve">What good looks like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trPr>
        <w:tc>
          <w:tcPr>
            <w:tcW w:type="dxa" w:w="4819"/>
            <w:tcBorders>
              <w:top w:val="single" w:color="D5DEEA" w:sz="4"/>
              <w:left w:val="single" w:color="D5DEEA" w:sz="4"/>
              <w:bottom w:val="single" w:color="D5DEEA" w:sz="4"/>
              <w:right w:val="single" w:color="D5DEEA" w:sz="4"/>
            </w:tcBorders>
            <w:shd w:fill="202448" w:color="auto" w:val="clear"/>
            <w:tcMar>
              <w:top w:type="dxa" w:w="90"/>
              <w:left w:type="dxa" w:w="140"/>
              <w:bottom w:type="dxa" w:w="90"/>
              <w:right w:type="dxa" w:w="140"/>
            </w:tcMar>
          </w:tcPr>
          <w:p>
            <w:pPr>
              <w:spacing w:after="30" w:before="0" w:line="264"/>
            </w:pPr>
            <w:r>
              <w:rPr>
                <w:rFonts w:ascii="Arial" w:cs="Arial" w:eastAsia="Arial" w:hAnsi="Arial"/>
                <w:b/>
                <w:bCs/>
                <w:color w:val="FFFFFF"/>
                <w:sz w:val="20"/>
                <w:szCs w:val="20"/>
              </w:rPr>
              <w:t xml:space="preserve">Weak</w:t>
            </w:r>
          </w:p>
        </w:tc>
        <w:tc>
          <w:tcPr>
            <w:tcW w:type="dxa" w:w="4819"/>
            <w:tcBorders>
              <w:top w:val="single" w:color="D5DEEA" w:sz="4"/>
              <w:left w:val="single" w:color="D5DEEA" w:sz="4"/>
              <w:bottom w:val="single" w:color="D5DEEA" w:sz="4"/>
              <w:right w:val="single" w:color="D5DEEA" w:sz="4"/>
            </w:tcBorders>
            <w:shd w:fill="202448" w:color="auto" w:val="clear"/>
            <w:tcMar>
              <w:top w:type="dxa" w:w="90"/>
              <w:left w:type="dxa" w:w="140"/>
              <w:bottom w:type="dxa" w:w="90"/>
              <w:right w:type="dxa" w:w="140"/>
            </w:tcMar>
          </w:tcPr>
          <w:p>
            <w:pPr>
              <w:spacing w:after="30" w:before="0" w:line="264"/>
            </w:pPr>
            <w:r>
              <w:rPr>
                <w:rFonts w:ascii="Arial" w:cs="Arial" w:eastAsia="Arial" w:hAnsi="Arial"/>
                <w:b/>
                <w:bCs/>
                <w:color w:val="FFFFFF"/>
                <w:sz w:val="20"/>
                <w:szCs w:val="20"/>
              </w:rPr>
              <w:t xml:space="preserve">Strong</w:t>
            </w:r>
          </w:p>
        </w:tc>
      </w:tr>
      <w:tr>
        <w:trPr>
          <w:cantSplit/>
          <w:tblHeader w:val="false"/>
        </w:trPr>
        <w:tc>
          <w:tcPr>
            <w:tcW w:type="dxa" w:w="4819"/>
            <w:tcBorders>
              <w:top w:val="single" w:color="D5DEEA" w:sz="4"/>
              <w:left w:val="single" w:color="D5DEEA" w:sz="4"/>
              <w:bottom w:val="single" w:color="D5DEEA" w:sz="4"/>
              <w:right w:val="single" w:color="D5DEEA" w:sz="4"/>
            </w:tcBorders>
            <w:tcMar>
              <w:top w:type="dxa" w:w="90"/>
              <w:left w:type="dxa" w:w="140"/>
              <w:bottom w:type="dxa" w:w="90"/>
              <w:right w:type="dxa" w:w="140"/>
            </w:tcMar>
          </w:tcPr>
          <w:p>
            <w:pPr>
              <w:spacing w:after="30" w:before="0" w:line="264"/>
            </w:pPr>
            <w:r>
              <w:rPr>
                <w:rFonts w:ascii="Arial" w:cs="Arial" w:eastAsia="Arial" w:hAnsi="Arial"/>
                <w:color w:val="1F2937"/>
                <w:sz w:val="20"/>
                <w:szCs w:val="20"/>
              </w:rPr>
              <w:t xml:space="preserve">“The process takes too long.”</w:t>
            </w:r>
          </w:p>
        </w:tc>
        <w:tc>
          <w:tcPr>
            <w:tcW w:type="dxa" w:w="4819"/>
            <w:tcBorders>
              <w:top w:val="single" w:color="D5DEEA" w:sz="4"/>
              <w:left w:val="single" w:color="D5DEEA" w:sz="4"/>
              <w:bottom w:val="single" w:color="D5DEEA" w:sz="4"/>
              <w:right w:val="single" w:color="D5DEEA" w:sz="4"/>
            </w:tcBorders>
            <w:tcMar>
              <w:top w:type="dxa" w:w="90"/>
              <w:left w:type="dxa" w:w="140"/>
              <w:bottom w:type="dxa" w:w="90"/>
              <w:right w:type="dxa" w:w="140"/>
            </w:tcMar>
          </w:tcPr>
          <w:p>
            <w:pPr>
              <w:spacing w:after="30" w:before="0" w:line="264"/>
            </w:pPr>
            <w:r>
              <w:rPr>
                <w:rFonts w:ascii="Arial" w:cs="Arial" w:eastAsia="Arial" w:hAnsi="Arial"/>
                <w:color w:val="1F2937"/>
                <w:sz w:val="20"/>
                <w:szCs w:val="20"/>
              </w:rPr>
              <w:t xml:space="preserve">Six steps with minutes and error rates, and the two pain steps named.</w:t>
            </w:r>
          </w:p>
        </w:tc>
      </w:tr>
      <w:tr>
        <w:trPr>
          <w:cantSplit/>
          <w:tblHeader w:val="false"/>
        </w:trPr>
        <w:tc>
          <w:tcPr>
            <w:tcW w:type="dxa" w:w="4819"/>
            <w:tcBorders>
              <w:top w:val="single" w:color="D5DEEA" w:sz="4"/>
              <w:left w:val="single" w:color="D5DEEA" w:sz="4"/>
              <w:bottom w:val="single" w:color="D5DEEA" w:sz="4"/>
              <w:right w:val="single" w:color="D5DEEA" w:sz="4"/>
            </w:tcBorders>
            <w:tcMar>
              <w:top w:type="dxa" w:w="90"/>
              <w:left w:type="dxa" w:w="140"/>
              <w:bottom w:type="dxa" w:w="90"/>
              <w:right w:type="dxa" w:w="140"/>
            </w:tcMar>
          </w:tcPr>
          <w:p>
            <w:pPr>
              <w:spacing w:after="30" w:before="0" w:line="264"/>
            </w:pPr>
            <w:r>
              <w:rPr>
                <w:rFonts w:ascii="Arial" w:cs="Arial" w:eastAsia="Arial" w:hAnsi="Arial"/>
                <w:color w:val="1F2937"/>
                <w:sz w:val="20"/>
                <w:szCs w:val="20"/>
              </w:rPr>
              <w:t xml:space="preserve">AI on every step, at the same level.</w:t>
            </w:r>
          </w:p>
        </w:tc>
        <w:tc>
          <w:tcPr>
            <w:tcW w:type="dxa" w:w="4819"/>
            <w:tcBorders>
              <w:top w:val="single" w:color="D5DEEA" w:sz="4"/>
              <w:left w:val="single" w:color="D5DEEA" w:sz="4"/>
              <w:bottom w:val="single" w:color="D5DEEA" w:sz="4"/>
              <w:right w:val="single" w:color="D5DEEA" w:sz="4"/>
            </w:tcBorders>
            <w:tcMar>
              <w:top w:type="dxa" w:w="90"/>
              <w:left w:type="dxa" w:w="140"/>
              <w:bottom w:type="dxa" w:w="90"/>
              <w:right w:type="dxa" w:w="140"/>
            </w:tcMar>
          </w:tcPr>
          <w:p>
            <w:pPr>
              <w:spacing w:after="30" w:before="0" w:line="264"/>
            </w:pPr>
            <w:r>
              <w:rPr>
                <w:rFonts w:ascii="Arial" w:cs="Arial" w:eastAsia="Arial" w:hAnsi="Arial"/>
                <w:color w:val="1F2937"/>
                <w:sz w:val="20"/>
                <w:szCs w:val="20"/>
              </w:rPr>
              <w:t xml:space="preserve">A trust level per step; a person where the money or the customer is; the way back designed first.</w:t>
            </w:r>
          </w:p>
        </w:tc>
      </w:tr>
      <w:tr>
        <w:trPr>
          <w:cantSplit/>
          <w:tblHeader w:val="false"/>
        </w:trPr>
        <w:tc>
          <w:tcPr>
            <w:tcW w:type="dxa" w:w="4819"/>
            <w:tcBorders>
              <w:top w:val="single" w:color="D5DEEA" w:sz="4"/>
              <w:left w:val="single" w:color="D5DEEA" w:sz="4"/>
              <w:bottom w:val="single" w:color="D5DEEA" w:sz="4"/>
              <w:right w:val="single" w:color="D5DEEA" w:sz="4"/>
            </w:tcBorders>
            <w:tcMar>
              <w:top w:type="dxa" w:w="90"/>
              <w:left w:type="dxa" w:w="140"/>
              <w:bottom w:type="dxa" w:w="90"/>
              <w:right w:type="dxa" w:w="140"/>
            </w:tcMar>
          </w:tcPr>
          <w:p>
            <w:pPr>
              <w:spacing w:after="30" w:before="0" w:line="264"/>
            </w:pPr>
            <w:r>
              <w:rPr>
                <w:rFonts w:ascii="Arial" w:cs="Arial" w:eastAsia="Arial" w:hAnsi="Arial"/>
                <w:color w:val="1F2937"/>
                <w:sz w:val="20"/>
                <w:szCs w:val="20"/>
              </w:rPr>
              <w:t xml:space="preserve">Seven MUSTs and an empty WON’T column.</w:t>
            </w:r>
          </w:p>
        </w:tc>
        <w:tc>
          <w:tcPr>
            <w:tcW w:type="dxa" w:w="4819"/>
            <w:tcBorders>
              <w:top w:val="single" w:color="D5DEEA" w:sz="4"/>
              <w:left w:val="single" w:color="D5DEEA" w:sz="4"/>
              <w:bottom w:val="single" w:color="D5DEEA" w:sz="4"/>
              <w:right w:val="single" w:color="D5DEEA" w:sz="4"/>
            </w:tcBorders>
            <w:tcMar>
              <w:top w:type="dxa" w:w="90"/>
              <w:left w:type="dxa" w:w="140"/>
              <w:bottom w:type="dxa" w:w="90"/>
              <w:right w:type="dxa" w:w="140"/>
            </w:tcMar>
          </w:tcPr>
          <w:p>
            <w:pPr>
              <w:spacing w:after="30" w:before="0" w:line="264"/>
            </w:pPr>
            <w:r>
              <w:rPr>
                <w:rFonts w:ascii="Arial" w:cs="Arial" w:eastAsia="Arial" w:hAnsi="Arial"/>
                <w:color w:val="1F2937"/>
                <w:sz w:val="20"/>
                <w:szCs w:val="20"/>
              </w:rPr>
              <w:t xml:space="preserve">≤ 4 MUST, ≥ 5 WON’T, dated — and the feature that tests the flip assumption is a MUST.</w:t>
            </w:r>
          </w:p>
        </w:tc>
      </w:tr>
      <w:tr>
        <w:trPr>
          <w:cantSplit/>
          <w:tblHeader w:val="false"/>
        </w:trPr>
        <w:tc>
          <w:tcPr>
            <w:tcW w:type="dxa" w:w="4819"/>
            <w:tcBorders>
              <w:top w:val="single" w:color="D5DEEA" w:sz="4"/>
              <w:left w:val="single" w:color="D5DEEA" w:sz="4"/>
              <w:bottom w:val="single" w:color="D5DEEA" w:sz="4"/>
              <w:right w:val="single" w:color="D5DEEA" w:sz="4"/>
            </w:tcBorders>
            <w:tcMar>
              <w:top w:type="dxa" w:w="90"/>
              <w:left w:type="dxa" w:w="140"/>
              <w:bottom w:type="dxa" w:w="90"/>
              <w:right w:type="dxa" w:w="140"/>
            </w:tcMar>
          </w:tcPr>
          <w:p>
            <w:pPr>
              <w:spacing w:after="30" w:before="0" w:line="264"/>
            </w:pPr>
            <w:r>
              <w:rPr>
                <w:rFonts w:ascii="Arial" w:cs="Arial" w:eastAsia="Arial" w:hAnsi="Arial"/>
                <w:color w:val="1F2937"/>
                <w:sz w:val="20"/>
                <w:szCs w:val="20"/>
              </w:rPr>
              <w:t xml:space="preserve">“An LLM agent does everything.”</w:t>
            </w:r>
          </w:p>
        </w:tc>
        <w:tc>
          <w:tcPr>
            <w:tcW w:type="dxa" w:w="4819"/>
            <w:tcBorders>
              <w:top w:val="single" w:color="D5DEEA" w:sz="4"/>
              <w:left w:val="single" w:color="D5DEEA" w:sz="4"/>
              <w:bottom w:val="single" w:color="D5DEEA" w:sz="4"/>
              <w:right w:val="single" w:color="D5DEEA" w:sz="4"/>
            </w:tcBorders>
            <w:tcMar>
              <w:top w:type="dxa" w:w="90"/>
              <w:left w:type="dxa" w:w="140"/>
              <w:bottom w:type="dxa" w:w="90"/>
              <w:right w:type="dxa" w:w="140"/>
            </w:tcMar>
          </w:tcPr>
          <w:p>
            <w:pPr>
              <w:spacing w:after="30" w:before="0" w:line="264"/>
            </w:pPr>
            <w:r>
              <w:rPr>
                <w:rFonts w:ascii="Arial" w:cs="Arial" w:eastAsia="Arial" w:hAnsi="Arial"/>
                <w:color w:val="1F2937"/>
                <w:sz w:val="20"/>
                <w:szCs w:val="20"/>
              </w:rPr>
              <w:t xml:space="preserve">One rung per part, and why the rung below fails.</w:t>
            </w:r>
          </w:p>
        </w:tc>
      </w:tr>
      <w:tr>
        <w:trPr>
          <w:cantSplit/>
          <w:tblHeader w:val="false"/>
        </w:trPr>
        <w:tc>
          <w:tcPr>
            <w:tcW w:type="dxa" w:w="4819"/>
            <w:tcBorders>
              <w:top w:val="single" w:color="D5DEEA" w:sz="4"/>
              <w:left w:val="single" w:color="D5DEEA" w:sz="4"/>
              <w:bottom w:val="single" w:color="D5DEEA" w:sz="4"/>
              <w:right w:val="single" w:color="D5DEEA" w:sz="4"/>
            </w:tcBorders>
            <w:tcMar>
              <w:top w:type="dxa" w:w="90"/>
              <w:left w:type="dxa" w:w="140"/>
              <w:bottom w:type="dxa" w:w="90"/>
              <w:right w:type="dxa" w:w="140"/>
            </w:tcMar>
          </w:tcPr>
          <w:p>
            <w:pPr>
              <w:spacing w:after="30" w:before="0" w:line="264"/>
            </w:pPr>
            <w:r>
              <w:rPr>
                <w:rFonts w:ascii="Arial" w:cs="Arial" w:eastAsia="Arial" w:hAnsi="Arial"/>
                <w:color w:val="1F2937"/>
                <w:sz w:val="20"/>
                <w:szCs w:val="20"/>
              </w:rPr>
              <w:t xml:space="preserve">“Improve the support experience.”</w:t>
            </w:r>
          </w:p>
        </w:tc>
        <w:tc>
          <w:tcPr>
            <w:tcW w:type="dxa" w:w="4819"/>
            <w:tcBorders>
              <w:top w:val="single" w:color="D5DEEA" w:sz="4"/>
              <w:left w:val="single" w:color="D5DEEA" w:sz="4"/>
              <w:bottom w:val="single" w:color="D5DEEA" w:sz="4"/>
              <w:right w:val="single" w:color="D5DEEA" w:sz="4"/>
            </w:tcBorders>
            <w:tcMar>
              <w:top w:type="dxa" w:w="90"/>
              <w:left w:type="dxa" w:w="140"/>
              <w:bottom w:type="dxa" w:w="90"/>
              <w:right w:type="dxa" w:w="140"/>
            </w:tcMar>
          </w:tcPr>
          <w:p>
            <w:pPr>
              <w:spacing w:after="30" w:before="0" w:line="264"/>
            </w:pPr>
            <w:r>
              <w:rPr>
                <w:rFonts w:ascii="Arial" w:cs="Arial" w:eastAsia="Arial" w:hAnsi="Arial"/>
                <w:color w:val="1F2937"/>
                <w:sz w:val="20"/>
                <w:szCs w:val="20"/>
              </w:rPr>
              <w:t xml:space="preserve">One sentence: metric, threshold = your flip point, guardrail, eval-set, date.</w:t>
            </w:r>
          </w:p>
        </w:tc>
      </w:tr>
      <w:tr>
        <w:trPr>
          <w:cantSplit/>
          <w:tblHeader w:val="false"/>
        </w:trPr>
        <w:tc>
          <w:tcPr>
            <w:tcW w:type="dxa" w:w="4819"/>
            <w:tcBorders>
              <w:top w:val="single" w:color="D5DEEA" w:sz="4"/>
              <w:left w:val="single" w:color="D5DEEA" w:sz="4"/>
              <w:bottom w:val="single" w:color="D5DEEA" w:sz="4"/>
              <w:right w:val="single" w:color="D5DEEA" w:sz="4"/>
            </w:tcBorders>
            <w:tcMar>
              <w:top w:type="dxa" w:w="90"/>
              <w:left w:type="dxa" w:w="140"/>
              <w:bottom w:type="dxa" w:w="90"/>
              <w:right w:type="dxa" w:w="140"/>
            </w:tcMar>
          </w:tcPr>
          <w:p>
            <w:pPr>
              <w:spacing w:after="30" w:before="0" w:line="264"/>
            </w:pPr>
            <w:r>
              <w:rPr>
                <w:rFonts w:ascii="Arial" w:cs="Arial" w:eastAsia="Arial" w:hAnsi="Arial"/>
                <w:color w:val="1F2937"/>
                <w:sz w:val="20"/>
                <w:szCs w:val="20"/>
              </w:rPr>
              <w:t xml:space="preserve">“Users liked it.” (5 friends, “would you use it?”)</w:t>
            </w:r>
          </w:p>
        </w:tc>
        <w:tc>
          <w:tcPr>
            <w:tcW w:type="dxa" w:w="4819"/>
            <w:tcBorders>
              <w:top w:val="single" w:color="D5DEEA" w:sz="4"/>
              <w:left w:val="single" w:color="D5DEEA" w:sz="4"/>
              <w:bottom w:val="single" w:color="D5DEEA" w:sz="4"/>
              <w:right w:val="single" w:color="D5DEEA" w:sz="4"/>
            </w:tcBorders>
            <w:tcMar>
              <w:top w:type="dxa" w:w="90"/>
              <w:left w:type="dxa" w:w="140"/>
              <w:bottom w:type="dxa" w:w="90"/>
              <w:right w:type="dxa" w:w="140"/>
            </w:tcMar>
          </w:tcPr>
          <w:p>
            <w:pPr>
              <w:spacing w:after="30" w:before="0" w:line="264"/>
            </w:pPr>
            <w:r>
              <w:rPr>
                <w:rFonts w:ascii="Arial" w:cs="Arial" w:eastAsia="Arial" w:hAnsi="Arial"/>
                <w:color w:val="1F2937"/>
                <w:sz w:val="20"/>
                <w:szCs w:val="20"/>
              </w:rPr>
              <w:t xml:space="preserve">What they did last time, where they hesitated, and the evidence for each change in v2.</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2EAEE0" w:sz="24"/>
              <w:bottom w:val="none" w:color="FFFFFF" w:sz="0"/>
              <w:right w:val="none" w:color="FFFFFF" w:sz="0"/>
            </w:tcBorders>
            <w:shd w:fill="EAEFF6" w:color="auto" w:val="clear"/>
            <w:tcMar>
              <w:top w:type="dxa" w:w="140"/>
              <w:left w:type="dxa" w:w="220"/>
              <w:bottom w:type="dxa" w:w="120"/>
              <w:right w:type="dxa" w:w="220"/>
            </w:tcMar>
          </w:tcPr>
          <w:p>
            <w:pPr>
              <w:spacing w:after="80" w:before="0" w:line="264"/>
            </w:pPr>
            <w:r>
              <w:rPr>
                <w:rFonts w:ascii="Arial" w:cs="Arial" w:eastAsia="Arial" w:hAnsi="Arial"/>
                <w:b/>
                <w:bCs/>
                <w:color w:val="035CA0"/>
                <w:sz w:val="20"/>
                <w:szCs w:val="20"/>
              </w:rPr>
              <w:t xml:space="preserve">Using AI to help — yes, and keep the human parts human</w:t>
            </w:r>
          </w:p>
          <w:p>
            <w:pPr>
              <w:spacing w:after="70" w:before="0" w:line="264"/>
            </w:pPr>
            <w:r>
              <w:rPr>
                <w:rFonts w:ascii="Arial" w:cs="Arial" w:eastAsia="Arial" w:hAnsi="Arial"/>
                <w:color w:val="1F2937"/>
                <w:sz w:val="20"/>
                <w:szCs w:val="20"/>
              </w:rPr>
              <w:t xml:space="preserve">You may use Claude or any assistant to draft the brief, the spec or the prototype. You may not use it to invent user research: the quotes and observations in 03_user_research.md must come from real conversations (or from classmates in role, said explicitly). If AI summarised a transcript, check it against your notes.</w:t>
            </w:r>
          </w:p>
        </w:tc>
      </w:tr>
    </w:tbl>
    <w:p>
      <w:pPr>
        <w:pStyle w:val="Heading2"/>
        <w:keepNext/>
        <w:pBdr>
          <w:bottom w:val="single" w:color="2EAEE0" w:sz="6" w:space="4"/>
        </w:pBdr>
        <w:spacing w:after="120" w:before="280"/>
      </w:pPr>
      <w:r>
        <w:rPr>
          <w:rFonts w:ascii="Arial" w:cs="Arial" w:eastAsia="Arial" w:hAnsi="Arial"/>
          <w:b/>
          <w:bCs/>
          <w:color w:val="202448"/>
          <w:sz w:val="26"/>
          <w:szCs w:val="26"/>
        </w:rPr>
        <w:t xml:space="preserve">Before you commit</w:t>
      </w:r>
    </w:p>
    <w:p>
      <w:pPr>
        <w:pStyle w:val="ListParagraph"/>
        <w:numPr>
          <w:ilvl w:val="0"/>
          <w:numId w:val="3"/>
        </w:numPr>
        <w:spacing w:after="70" w:line="264"/>
      </w:pPr>
      <w:r>
        <w:rPr>
          <w:rFonts w:ascii="Arial" w:cs="Arial" w:eastAsia="Arial" w:hAnsi="Arial"/>
          <w:color w:val="1F2937"/>
          <w:sz w:val="20"/>
          <w:szCs w:val="20"/>
        </w:rPr>
        <w:t xml:space="preserve">The as-is process has minutes and error rates, with source types; the two pain steps are named</w:t>
      </w:r>
    </w:p>
    <w:p>
      <w:pPr>
        <w:pStyle w:val="ListParagraph"/>
        <w:numPr>
          <w:ilvl w:val="0"/>
          <w:numId w:val="3"/>
        </w:numPr>
        <w:spacing w:after="70" w:line="264"/>
      </w:pPr>
      <w:r>
        <w:rPr>
          <w:rFonts w:ascii="Arial" w:cs="Arial" w:eastAsia="Arial" w:hAnsi="Arial"/>
          <w:color w:val="1F2937"/>
          <w:sz w:val="20"/>
          <w:szCs w:val="20"/>
        </w:rPr>
        <w:t xml:space="preserve">Every step has automate / augment / keep human, a trust level, a metric — and the way back to a person</w:t>
      </w:r>
    </w:p>
    <w:p>
      <w:pPr>
        <w:pStyle w:val="ListParagraph"/>
        <w:numPr>
          <w:ilvl w:val="0"/>
          <w:numId w:val="3"/>
        </w:numPr>
        <w:spacing w:after="70" w:line="264"/>
      </w:pPr>
      <w:r>
        <w:rPr>
          <w:rFonts w:ascii="Arial" w:cs="Arial" w:eastAsia="Arial" w:hAnsi="Arial"/>
          <w:color w:val="1F2937"/>
          <w:sz w:val="20"/>
          <w:szCs w:val="20"/>
        </w:rPr>
        <w:t xml:space="preserve">RICE table sorted; MoSCoW with ≤ 4 MUST and ≥ 5 WON’T; the flip-assumption feature is a MUST</w:t>
      </w:r>
    </w:p>
    <w:p>
      <w:pPr>
        <w:pStyle w:val="ListParagraph"/>
        <w:numPr>
          <w:ilvl w:val="0"/>
          <w:numId w:val="3"/>
        </w:numPr>
        <w:spacing w:after="70" w:line="264"/>
      </w:pPr>
      <w:r>
        <w:rPr>
          <w:rFonts w:ascii="Arial" w:cs="Arial" w:eastAsia="Arial" w:hAnsi="Arial"/>
          <w:color w:val="1F2937"/>
          <w:sz w:val="20"/>
          <w:szCs w:val="20"/>
        </w:rPr>
        <w:t xml:space="preserve">One rung per part, with the reason the rung below fails</w:t>
      </w:r>
    </w:p>
    <w:p>
      <w:pPr>
        <w:pStyle w:val="ListParagraph"/>
        <w:numPr>
          <w:ilvl w:val="0"/>
          <w:numId w:val="3"/>
        </w:numPr>
        <w:spacing w:after="70" w:line="264"/>
      </w:pPr>
      <w:r>
        <w:rPr>
          <w:rFonts w:ascii="Arial" w:cs="Arial" w:eastAsia="Arial" w:hAnsi="Arial"/>
          <w:color w:val="1F2937"/>
          <w:sz w:val="20"/>
          <w:szCs w:val="20"/>
        </w:rPr>
        <w:t xml:space="preserve">governance.md has the Session 3 section: six audit answers, purpose, isolation, gaps, trust levels</w:t>
      </w:r>
    </w:p>
    <w:p>
      <w:pPr>
        <w:pStyle w:val="ListParagraph"/>
        <w:numPr>
          <w:ilvl w:val="0"/>
          <w:numId w:val="3"/>
        </w:numPr>
        <w:spacing w:after="70" w:line="264"/>
      </w:pPr>
      <w:r>
        <w:rPr>
          <w:rFonts w:ascii="Arial" w:cs="Arial" w:eastAsia="Arial" w:hAnsi="Arial"/>
          <w:color w:val="1F2937"/>
          <w:sz w:val="20"/>
          <w:szCs w:val="20"/>
        </w:rPr>
        <w:t xml:space="preserve">The success criterion is one sentence and its threshold is your own flip point</w:t>
      </w:r>
    </w:p>
    <w:p>
      <w:pPr>
        <w:pStyle w:val="ListParagraph"/>
        <w:numPr>
          <w:ilvl w:val="0"/>
          <w:numId w:val="3"/>
        </w:numPr>
        <w:spacing w:after="70" w:line="264"/>
      </w:pPr>
      <w:r>
        <w:rPr>
          <w:rFonts w:ascii="Arial" w:cs="Arial" w:eastAsia="Arial" w:hAnsi="Arial"/>
          <w:color w:val="1F2937"/>
          <w:sz w:val="20"/>
          <w:szCs w:val="20"/>
        </w:rPr>
        <w:t xml:space="preserve">Three conversations and one usability test are in 03_user_research.md; the prototype link works</w:t>
      </w:r>
    </w:p>
    <w:p>
      <w:pPr>
        <w:pStyle w:val="ListParagraph"/>
        <w:numPr>
          <w:ilvl w:val="0"/>
          <w:numId w:val="3"/>
        </w:numPr>
        <w:spacing w:after="70" w:line="264"/>
      </w:pPr>
      <w:r>
        <w:rPr>
          <w:rFonts w:ascii="Arial" w:cs="Arial" w:eastAsia="Arial" w:hAnsi="Arial"/>
          <w:color w:val="1F2937"/>
          <w:sz w:val="20"/>
          <w:szCs w:val="20"/>
        </w:rPr>
        <w:t xml:space="preserve">Brief v2 has “What the users changed” (with evidence) and “What they could not decide”</w:t>
      </w:r>
    </w:p>
    <w:p>
      <w:pPr>
        <w:pStyle w:val="ListParagraph"/>
        <w:numPr>
          <w:ilvl w:val="0"/>
          <w:numId w:val="3"/>
        </w:numPr>
        <w:spacing w:after="70" w:line="264"/>
      </w:pPr>
      <w:r>
        <w:rPr>
          <w:rFonts w:ascii="Arial" w:cs="Arial" w:eastAsia="Arial" w:hAnsi="Arial"/>
          <w:color w:val="1F2937"/>
          <w:sz w:val="20"/>
          <w:szCs w:val="20"/>
        </w:rPr>
        <w:t xml:space="preserve">spec.md skeleton and 20 labelled cases in evals/eval_set_v0.csv; every member has committed</w:t>
      </w:r>
    </w:p>
    <w:p>
      <w:pPr>
        <w:pStyle w:val="Heading2"/>
        <w:keepNext/>
        <w:pBdr>
          <w:bottom w:val="single" w:color="2EAEE0" w:sz="6" w:space="4"/>
        </w:pBdr>
        <w:spacing w:after="120" w:before="280"/>
      </w:pPr>
      <w:r>
        <w:rPr>
          <w:rFonts w:ascii="Arial" w:cs="Arial" w:eastAsia="Arial" w:hAnsi="Arial"/>
          <w:b/>
          <w:bCs/>
          <w:color w:val="202448"/>
          <w:sz w:val="26"/>
          <w:szCs w:val="26"/>
        </w:rPr>
        <w:t xml:space="preserve">How it counts</w:t>
      </w:r>
    </w:p>
    <w:p>
      <w:pPr>
        <w:spacing w:after="120" w:before="0" w:line="264"/>
      </w:pPr>
      <w:r>
        <w:rPr>
          <w:rFonts w:ascii="Arial" w:cs="Arial" w:eastAsia="Arial" w:hAnsi="Arial"/>
          <w:color w:val="1F2937"/>
          <w:sz w:val="20"/>
          <w:szCs w:val="20"/>
        </w:rPr>
        <w:t xml:space="preserve">This assignment is part of your Git deliverable (40 % of the project grade): “spec + brief” is one of the five syllabus deliverables. It builds two beats of your final pitch — beat 2, the solution (your agent in one sentence, with its trust level) and beat 3, the validation (what users said about your prototype). Session 4 built the first prototype from a starter; Assignment 4 connects it to your brief v2, your spec.md and your eval-set.</w:t>
      </w:r>
    </w:p>
    <w:p>
      <w:pPr>
        <w:spacing w:after="120" w:before="60" w:line="264"/>
      </w:pPr>
      <w:r>
        <w:rPr>
          <w:rFonts w:ascii="Arial" w:cs="Arial" w:eastAsia="Arial" w:hAnsi="Arial"/>
          <w:b/>
          <w:bCs/>
          <w:color w:val="035CA0"/>
          <w:sz w:val="20"/>
          <w:szCs w:val="20"/>
        </w:rPr>
        <w:t xml:space="preserve">Resources: </w:t>
      </w:r>
      <w:r>
        <w:rPr>
          <w:rFonts w:ascii="Arial" w:cs="Arial" w:eastAsia="Arial" w:hAnsi="Arial"/>
          <w:color w:val="1F2937"/>
          <w:sz w:val="20"/>
          <w:szCs w:val="20"/>
        </w:rPr>
        <w:t xml:space="preserve">Session 3 slides · S3_templates.zip · Brynjolfsson &amp; Mitchell, What can machine learning do? Workforce implications, Science (2017) · Sean McBride, RICE (Intercom blog) · Rob Fitzpatrick, The Mom Test (2013) · Steve Krug, Rocket Surgery Made Easy (2009) · Gebru et al., Datasheets for Datasets (CACM, 2021).</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6B7280"/>
        <w:sz w:val="16"/>
        <w:szCs w:val="16"/>
      </w:rPr>
      <w:t xml:space="preserve">BleuAI × Albert School  ·  Assignment 3  ·  page </w:t>
    </w:r>
    <w:r>
      <w:rPr>
        <w:rFonts w:ascii="Arial" w:cs="Arial" w:eastAsia="Arial" w:hAnsi="Arial"/>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Arial" w:cs="Arial" w:eastAsia="Arial" w:hAnsi="Arial"/>
        <w:color w:val="6B7280"/>
        <w:sz w:val="16"/>
        <w:szCs w:val="16"/>
      </w:rPr>
      <w:t xml:space="preserve">Data &amp; AI Product: From Diagnosis to Delivery  ·  MSA-DAT07-04  ·  Albert School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lvl w:ilvl="1" w15:tentative="1">
      <w:start w:val="1"/>
      <w:numFmt w:val="bullet"/>
      <w:lvlText w:val="–"/>
      <w:lvlJc w:val="left"/>
      <w:pPr>
        <w:ind w:left="800" w:hanging="260"/>
      </w:pPr>
    </w:lvl>
  </w:abstractNum>
  <w:abstractNum w:abstractNumId="3" w15:restartNumberingAfterBreak="0">
    <w:multiLevelType w:val="hybridMultilevel"/>
    <w:lvl w:ilvl="0" w15:tentative="1">
      <w:start w:val="1"/>
      <w:numFmt w:val="decimal"/>
      <w:lvlText w:val="%1."/>
      <w:lvlJc w:val="left"/>
      <w:pPr>
        <w:ind w:left="440" w:hanging="360"/>
      </w:pPr>
      <w:rPr>
        <w:b/>
        <w:bCs/>
        <w:color w:val="035CA0"/>
      </w:rPr>
    </w:lvl>
  </w:abstractNum>
  <w:abstractNum w:abstractNumId="4" w15:restartNumberingAfterBreak="0">
    <w:multiLevelType w:val="hybridMultilevel"/>
    <w:lvl w:ilvl="0" w15:tentative="1">
      <w:start w:val="1"/>
      <w:numFmt w:val="decimal"/>
      <w:lvlText w:val="%1."/>
      <w:lvlJc w:val="left"/>
      <w:pPr>
        <w:ind w:left="440" w:hanging="360"/>
      </w:pPr>
      <w:rPr>
        <w:b/>
        <w:bCs/>
        <w:color w:val="035CA0"/>
      </w:rPr>
    </w:lvl>
  </w:abstractNum>
  <w:abstractNum w:abstractNumId="5" w15:restartNumberingAfterBreak="0">
    <w:multiLevelType w:val="hybridMultilevel"/>
    <w:lvl w:ilvl="0" w15:tentative="1">
      <w:start w:val="1"/>
      <w:numFmt w:val="bullet"/>
      <w:lvlText w:val="☐"/>
      <w:lvlJc w:val="left"/>
      <w:pPr>
        <w:ind w:left="440" w:hanging="340"/>
      </w:pPr>
    </w:lvl>
  </w:abstractNum>
  <w:num w:numId="1">
    <w:abstractNumId w:val="1"/>
    <w:lvlOverride w:ilvl="0">
      <w:startOverride w:val="1"/>
    </w:lvlOverride>
  </w:num>
  <w:num w:numId="2">
    <w:abstractNumId w:val="3"/>
    <w:lvlOverride w:ilvl="0">
      <w:startOverride w:val="1"/>
    </w:lvlOverride>
  </w:num>
  <w:num w:numId="3">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Assignment 3</dc:title>
  <dc:creator>Cristina Oprean — BleuAI</dc:creator>
  <cp:lastModifiedBy>Un-named</cp:lastModifiedBy>
  <cp:revision>1</cp:revision>
  <dcterms:created xsi:type="dcterms:W3CDTF">2026-10-30T00:29:05.460Z</dcterms:created>
  <dcterms:modified xsi:type="dcterms:W3CDTF">2026-10-30T00:29:05.465Z</dcterms:modified>
</cp:coreProperties>
</file>

<file path=docProps/custom.xml><?xml version="1.0" encoding="utf-8"?>
<Properties xmlns="http://schemas.openxmlformats.org/officeDocument/2006/custom-properties" xmlns:vt="http://schemas.openxmlformats.org/officeDocument/2006/docPropsVTypes"/>
</file>