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35CA0"/>
          <w:spacing w:val="30"/>
          <w:sz w:val="17"/>
          <w:szCs w:val="17"/>
        </w:rPr>
        <w:t xml:space="preserve">ASSIGNMENT 2 · TEAM PROJECT · AFTER SESSION 2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202448"/>
          <w:sz w:val="36"/>
          <w:szCs w:val="36"/>
        </w:rPr>
        <w:t xml:space="preserve">Is it worth it? Sizing and investment memo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AEF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Due</w:t>
            </w:r>
          </w:p>
        </w:tc>
        <w:tc>
          <w:tcPr>
            <w:tcW w:type="dxa" w:w="77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Before Session 3 — Friday 16 October 2026, start of class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AEF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Team</w:t>
            </w:r>
          </w:p>
        </w:tc>
        <w:tc>
          <w:tcPr>
            <w:tcW w:type="dxa" w:w="77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Same team, same agent as Assignment 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AEF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Files</w:t>
            </w:r>
          </w:p>
        </w:tc>
        <w:tc>
          <w:tcPr>
            <w:tcW w:type="dxa" w:w="77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02_sizing.xlsx (from the template) · 02_investment_memo.md (one page) · governance.md (Session 2 lines)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EAEFF6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color w:val="202448"/>
                <w:sz w:val="20"/>
                <w:szCs w:val="20"/>
              </w:rPr>
              <w:t xml:space="preserve">Rule</w:t>
            </w:r>
          </w:p>
        </w:tc>
        <w:tc>
          <w:tcPr>
            <w:tcW w:type="dxa" w:w="77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The sheet and the memo use the same base case. Committed by at least two members.</w:t>
            </w:r>
          </w:p>
        </w:tc>
      </w:tr>
    </w:tbl>
    <w:p>
      <w:pPr>
        <w:pStyle w:val="Heading2"/>
        <w:keepNext/>
        <w:pBdr>
          <w:bottom w:val="single" w:color="2EAEE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02448"/>
          <w:sz w:val="26"/>
          <w:szCs w:val="26"/>
        </w:rPr>
        <w:t xml:space="preserve">Why this assignment</w:t>
      </w:r>
    </w:p>
    <w:p>
      <w:pPr>
        <w:spacing w:after="120" w:before="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“We should build this” is not a decision until it has a number, an alternative and a threshold. Sizing lets a product manager lose an argument with the CFO on facts rather than on enthusiasm. The three scenarios exist because a single number hides the tail where projects die (Zillow Offers, 2021). And the threshold is rarely “do nothing”: it is the other project that would use the same team.</w:t>
      </w:r>
    </w:p>
    <w:p>
      <w:pPr>
        <w:pStyle w:val="Heading2"/>
        <w:keepNext/>
        <w:pBdr>
          <w:bottom w:val="single" w:color="2EAEE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02448"/>
          <w:sz w:val="26"/>
          <w:szCs w:val="26"/>
        </w:rPr>
        <w:t xml:space="preserve">What to do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Size the upside, bottom-up, in 02_sizing.xlsx — for your team’s own project.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Start with the “How to fill it” tab: it gives your company’s starting numbers and worked examples. Rename your categories (ticket types, requests, incidents…; set Include = 0 for one you leave out). Give every input a Low / Base / High value, a source type (measured, analogy, guess, decision, judgement) and a note saying where it comes from. Stage adoption by quarter — never 100 % in year 1. Not every agent removes tickets: time saved, revenue retained or penalties avoided are sized too — see the worked examples and the Other value rows.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Price the cost side: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the seven lines — tokens and inference, integration, evaluation, supervision (the human in the loop is a cost), monitoring and on-call, re-evaluation at model changes, and the cost of error priced as probability × cost. Recheck token prices on the day you fill them in.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Decide: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three scenarios with probabilities that sum to 1 → an expected value. Compare it with do-nothing (the current process improving on its own) and with your next-best project — name it: it is your hurdle.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Find your flip point: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read the sensitivity table at the bottom of the Decision tab. The deflection rate at which the reading changes is the number your memo must name and your Session 4 prototype must measure.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Build, buy or orchestrate: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score the three options on the ten questions of the Build or buy tab, weight what matters to your company, and check the break-even against per-resolution pricing.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Write the memo — one page.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Line one is the decision: GO, NO-GO or CONDITIONAL GO on [condition]. Then the four questions a CFO asks: How much? How sure? What if we’re wrong? Compared to what? End with one line on build, buy or orchestrate.</w:t>
      </w:r>
    </w:p>
    <w:p>
      <w:pPr>
        <w:pStyle w:val="ListParagraph"/>
        <w:numPr>
          <w:ilvl w:val="0"/>
          <w:numId w:val="2"/>
        </w:numPr>
        <w:spacing w:after="110" w:line="264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Update governance.md: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which cost-of-error line is a legal or reputational risk, not just money — and who in the company owns it.</w:t>
      </w:r>
    </w:p>
    <w:p>
      <w:pPr>
        <w:pStyle w:val="Heading2"/>
        <w:keepNext/>
        <w:pBdr>
          <w:bottom w:val="single" w:color="2EAEE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02448"/>
          <w:sz w:val="26"/>
          <w:szCs w:val="26"/>
        </w:rPr>
        <w:t xml:space="preserve">Before you commit — the six sizing failure modes</w:t>
      </w:r>
    </w:p>
    <w:p>
      <w:pPr>
        <w:keepNext/>
        <w:spacing w:after="120" w:before="0" w:line="264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The written exam asks you to spot these in a brief. Make sure yours has none of them.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900"/>
        <w:gridCol w:w="5238"/>
      </w:tblGrid>
      <w:tr>
        <w:trPr>
          <w:cantSplit/>
          <w:tblHeader/>
        </w:trPr>
        <w:tc>
          <w:tcPr>
            <w:tcW w:type="dxa" w:w="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20244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20244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52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shd w:fill="20244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 instead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3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Top-down TAM copied from an analyst report</w:t>
            </w:r>
          </w:p>
        </w:tc>
        <w:tc>
          <w:tcPr>
            <w:tcW w:type="dxa" w:w="52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Count your own work: tickets × share × deflection × value — a source per branch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3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100 % adoption in year 1</w:t>
            </w:r>
          </w:p>
        </w:tc>
        <w:tc>
          <w:tcPr>
            <w:tcW w:type="dxa" w:w="52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An adoption ramp by quarter, each step conditional on a guardrail holding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3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Per-unit value = price, not net value</w:t>
            </w:r>
          </w:p>
        </w:tc>
        <w:tc>
          <w:tcPr>
            <w:tcW w:type="dxa" w:w="52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Human cost avoided − AI cost − expected cost of a wrong answer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3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Marginal AI cost forgotten — or fixed</w:t>
            </w:r>
          </w:p>
        </w:tc>
        <w:tc>
          <w:tcPr>
            <w:tcW w:type="dxa" w:w="52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Tokens scale with success; size with a cost curve, not a point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3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Cost of error not priced</w:t>
            </w:r>
          </w:p>
        </w:tc>
        <w:tc>
          <w:tcPr>
            <w:tcW w:type="dxa" w:w="52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Error rate × cost of one wrong answer, per category — the tail, priced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3900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Do-nothing assumed to be zero</w:t>
            </w:r>
          </w:p>
        </w:tc>
        <w:tc>
          <w:tcPr>
            <w:tcW w:type="dxa" w:w="5238"/>
            <w:tcBorders>
              <w:top w:val="single" w:color="D5DEEA" w:sz="4"/>
              <w:left w:val="single" w:color="D5DEEA" w:sz="4"/>
              <w:bottom w:val="single" w:color="D5DEEA" w:sz="4"/>
              <w:right w:val="single" w:color="D5DEEA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3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 current process improves on its own; the real competitor is another project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Every input has a Low / Base / High value, a source type and a note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Probabilities sum to 1; the Decision cell no longer asks you to fill anything in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next-best project is named, in the sheet and in the memo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memo’s first line is the decision, and a conditional go states its condition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memo and the sheet show the same base case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One line on build, buy or orchestrate, with the condition that would change it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governance.md has the Session 2 lines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2EAEE0" w:sz="24"/>
              <w:bottom w:val="none" w:color="FFFFFF" w:sz="0"/>
              <w:right w:val="none" w:color="FFFFFF" w:sz="0"/>
            </w:tcBorders>
            <w:shd w:fill="EAEFF6" w:color="auto" w:val="clear"/>
            <w:tcMar>
              <w:top w:type="dxa" w:w="140"/>
              <w:left w:type="dxa" w:w="220"/>
              <w:bottom w:type="dxa" w:w="120"/>
              <w:right w:type="dxa" w:w="220"/>
            </w:tcMar>
          </w:tcPr>
          <w:p>
            <w:pPr>
              <w:spacing w:after="80" w:before="0" w:line="264"/>
            </w:pPr>
            <w:r>
              <w:rPr>
                <w:rFonts w:ascii="Arial" w:cs="Arial" w:eastAsia="Arial" w:hAnsi="Arial"/>
                <w:b/>
                <w:bCs/>
                <w:color w:val="035CA0"/>
                <w:sz w:val="20"/>
                <w:szCs w:val="20"/>
              </w:rPr>
              <w:t xml:space="preserve">Using AI to help — yes, and audit every number</w:t>
            </w:r>
          </w:p>
          <w:p>
            <w:pPr>
              <w:spacing w:after="70" w:before="0" w:line="264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You may ask Claude, ChatGPT or any other assistant for a first bottom-up model: it will give you a complete, well-structured sheet in under a minute, with plausible parameters, some sourced and some invented. Your job is the assumption register: which numbers are measured, which are analogies (and from which case), and which are guesses. A confident number without a source is a guess — label it as one.</w:t>
            </w:r>
          </w:p>
        </w:tc>
      </w:tr>
    </w:tbl>
    <w:p>
      <w:pPr>
        <w:pStyle w:val="Heading2"/>
        <w:keepNext/>
        <w:pBdr>
          <w:bottom w:val="single" w:color="2EAEE0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202448"/>
          <w:sz w:val="26"/>
          <w:szCs w:val="26"/>
        </w:rPr>
        <w:t xml:space="preserve">How it counts</w:t>
      </w:r>
    </w:p>
    <w:p>
      <w:pPr>
        <w:spacing w:after="120" w:before="0" w:line="264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This assignment is part of your Git deliverable (40 % of the project grade). It becomes three beats of your final pitch — the market, the business case and the alternatives. The sizing sets the baseline of your three business metrics in Session 5, and the flip assumption is what your Session 4 prototype tests.</w:t>
      </w:r>
    </w:p>
    <w:p>
      <w:pPr>
        <w:spacing w:after="120" w:before="60" w:line="264"/>
      </w:pPr>
      <w:r>
        <w:rPr>
          <w:rFonts w:ascii="Arial" w:cs="Arial" w:eastAsia="Arial" w:hAnsi="Arial"/>
          <w:b/>
          <w:bCs/>
          <w:color w:val="035CA0"/>
          <w:sz w:val="20"/>
          <w:szCs w:val="20"/>
        </w:rPr>
        <w:t xml:space="preserve">Resources: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Session 2 slides (bottom-up tree, seven cost lines, scenarios and hurdle, investment memo, build / buy / orchestrate) · the 02_sizing template and the Paylio class sheet (format only) · Kohavi, Tang &amp; Xu, Trustworthy Online Controlled Experiments (2020), ch. 1 and 7 · Klarna press release (27 Feb 2024) and Bloomberg (8 May 2025) · Zillow Group, Form 8-K (2 Nov 2021) · Stanford HAI, AI Index Report 2025.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BleuAI × Albert School  ·  Assignment 2  ·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7280"/>
        <w:sz w:val="16"/>
        <w:szCs w:val="16"/>
      </w:rPr>
      <w:t xml:space="preserve">Data &amp; AI Product: From Diagnosis to Delivery  ·  MSA-DAT07-04  ·  Albert School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035CA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60"/>
      </w:pPr>
      <w:rPr>
        <w:b/>
        <w:bCs/>
        <w:color w:val="035CA0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2</dc:title>
  <dc:creator>Cristina Oprean — BleuAI</dc:creator>
  <cp:lastModifiedBy>Un-named</cp:lastModifiedBy>
  <cp:revision>1</cp:revision>
  <dcterms:created xsi:type="dcterms:W3CDTF">2026-10-12T21:26:26.421Z</dcterms:created>
  <dcterms:modified xsi:type="dcterms:W3CDTF">2026-10-12T21:26:26.421Z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