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35CA0"/>
          <w:spacing w:val="30"/>
          <w:sz w:val="17"/>
          <w:szCs w:val="17"/>
        </w:rPr>
        <w:t xml:space="preserve">ASSIGNMENT 1 · TEAM PROJECT · AFTER SESSION 2</w:t>
      </w:r>
    </w:p>
    <w:p>
      <w:pPr>
        <w:pStyle w:val="Heading1"/>
        <w:spacing w:after="160"/>
      </w:pPr>
      <w:r>
        <w:rPr>
          <w:rFonts w:ascii="Arial" w:cs="Arial" w:eastAsia="Arial" w:hAnsi="Arial"/>
          <w:b/>
          <w:bCs/>
          <w:color w:val="202448"/>
          <w:sz w:val="36"/>
          <w:szCs w:val="36"/>
        </w:rPr>
        <w:t xml:space="preserve">Your team, your agent, your problem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D5DEEA" w:sz="4"/>
              <w:left w:val="single" w:color="D5DEEA" w:sz="4"/>
              <w:bottom w:val="single" w:color="D5DEEA" w:sz="4"/>
              <w:right w:val="single" w:color="D5DEEA" w:sz="4"/>
            </w:tcBorders>
            <w:shd w:fill="EAEFF6" w:color="auto" w:val="clear"/>
            <w:tcMar>
              <w:top w:type="dxa" w:w="90"/>
              <w:left w:type="dxa" w:w="140"/>
              <w:bottom w:type="dxa" w:w="90"/>
              <w:right w:type="dxa" w:w="140"/>
            </w:tcMar>
          </w:tcPr>
          <w:p>
            <w:pPr>
              <w:spacing w:after="30" w:before="0" w:line="264"/>
            </w:pPr>
            <w:r>
              <w:rPr>
                <w:rFonts w:ascii="Arial" w:cs="Arial" w:eastAsia="Arial" w:hAnsi="Arial"/>
                <w:b/>
                <w:bCs/>
                <w:color w:val="202448"/>
                <w:sz w:val="20"/>
                <w:szCs w:val="20"/>
              </w:rPr>
              <w:t xml:space="preserve">Due</w:t>
            </w:r>
          </w:p>
        </w:tc>
        <w:tc>
          <w:tcPr>
            <w:tcW w:type="dxa" w:w="7738"/>
            <w:tcBorders>
              <w:top w:val="single" w:color="D5DEEA" w:sz="4"/>
              <w:left w:val="single" w:color="D5DEEA" w:sz="4"/>
              <w:bottom w:val="single" w:color="D5DEEA" w:sz="4"/>
              <w:right w:val="single" w:color="D5DEEA" w:sz="4"/>
            </w:tcBorders>
            <w:tcMar>
              <w:top w:type="dxa" w:w="90"/>
              <w:left w:type="dxa" w:w="140"/>
              <w:bottom w:type="dxa" w:w="90"/>
              <w:right w:type="dxa" w:w="140"/>
            </w:tcMar>
          </w:tcPr>
          <w:p>
            <w:pPr>
              <w:spacing w:after="30" w:before="0" w:line="264"/>
            </w:pPr>
            <w:r>
              <w:rPr>
                <w:rFonts w:ascii="Arial" w:cs="Arial" w:eastAsia="Arial" w:hAnsi="Arial"/>
                <w:b w:val="false"/>
                <w:bCs w:val="false"/>
                <w:color w:val="1F2937"/>
                <w:sz w:val="20"/>
                <w:szCs w:val="20"/>
              </w:rPr>
              <w:t xml:space="preserve">Before Session 3 — Friday 16 October 2026, start of class</w:t>
            </w:r>
          </w:p>
        </w:tc>
      </w:tr>
      <w:tr>
        <w:trPr>
          <w:cantSplit/>
        </w:trPr>
        <w:tc>
          <w:tcPr>
            <w:tcW w:type="dxa" w:w="1900"/>
            <w:tcBorders>
              <w:top w:val="single" w:color="D5DEEA" w:sz="4"/>
              <w:left w:val="single" w:color="D5DEEA" w:sz="4"/>
              <w:bottom w:val="single" w:color="D5DEEA" w:sz="4"/>
              <w:right w:val="single" w:color="D5DEEA" w:sz="4"/>
            </w:tcBorders>
            <w:shd w:fill="EAEFF6" w:color="auto" w:val="clear"/>
            <w:tcMar>
              <w:top w:type="dxa" w:w="90"/>
              <w:left w:type="dxa" w:w="140"/>
              <w:bottom w:type="dxa" w:w="90"/>
              <w:right w:type="dxa" w:w="140"/>
            </w:tcMar>
          </w:tcPr>
          <w:p>
            <w:pPr>
              <w:spacing w:after="30" w:before="0" w:line="264"/>
            </w:pPr>
            <w:r>
              <w:rPr>
                <w:rFonts w:ascii="Arial" w:cs="Arial" w:eastAsia="Arial" w:hAnsi="Arial"/>
                <w:b/>
                <w:bCs/>
                <w:color w:val="202448"/>
                <w:sz w:val="20"/>
                <w:szCs w:val="20"/>
              </w:rPr>
              <w:t xml:space="preserve">Team</w:t>
            </w:r>
          </w:p>
        </w:tc>
        <w:tc>
          <w:tcPr>
            <w:tcW w:type="dxa" w:w="7738"/>
            <w:tcBorders>
              <w:top w:val="single" w:color="D5DEEA" w:sz="4"/>
              <w:left w:val="single" w:color="D5DEEA" w:sz="4"/>
              <w:bottom w:val="single" w:color="D5DEEA" w:sz="4"/>
              <w:right w:val="single" w:color="D5DEEA" w:sz="4"/>
            </w:tcBorders>
            <w:tcMar>
              <w:top w:type="dxa" w:w="90"/>
              <w:left w:type="dxa" w:w="140"/>
              <w:bottom w:type="dxa" w:w="90"/>
              <w:right w:type="dxa" w:w="140"/>
            </w:tcMar>
          </w:tcPr>
          <w:p>
            <w:pPr>
              <w:spacing w:after="30" w:before="0" w:line="264"/>
            </w:pPr>
            <w:r>
              <w:rPr>
                <w:rFonts w:ascii="Arial" w:cs="Arial" w:eastAsia="Arial" w:hAnsi="Arial"/>
                <w:b w:val="false"/>
                <w:bCs w:val="false"/>
                <w:color w:val="1F2937"/>
                <w:sz w:val="20"/>
                <w:szCs w:val="20"/>
              </w:rPr>
              <w:t xml:space="preserve">4–5 students — the same team as in Agentic Workflows</w:t>
            </w:r>
          </w:p>
        </w:tc>
      </w:tr>
      <w:tr>
        <w:trPr>
          <w:cantSplit/>
        </w:trPr>
        <w:tc>
          <w:tcPr>
            <w:tcW w:type="dxa" w:w="1900"/>
            <w:tcBorders>
              <w:top w:val="single" w:color="D5DEEA" w:sz="4"/>
              <w:left w:val="single" w:color="D5DEEA" w:sz="4"/>
              <w:bottom w:val="single" w:color="D5DEEA" w:sz="4"/>
              <w:right w:val="single" w:color="D5DEEA" w:sz="4"/>
            </w:tcBorders>
            <w:shd w:fill="EAEFF6" w:color="auto" w:val="clear"/>
            <w:tcMar>
              <w:top w:type="dxa" w:w="90"/>
              <w:left w:type="dxa" w:w="140"/>
              <w:bottom w:type="dxa" w:w="90"/>
              <w:right w:type="dxa" w:w="140"/>
            </w:tcMar>
          </w:tcPr>
          <w:p>
            <w:pPr>
              <w:spacing w:after="30" w:before="0" w:line="264"/>
            </w:pPr>
            <w:r>
              <w:rPr>
                <w:rFonts w:ascii="Arial" w:cs="Arial" w:eastAsia="Arial" w:hAnsi="Arial"/>
                <w:b/>
                <w:bCs/>
                <w:color w:val="202448"/>
                <w:sz w:val="20"/>
                <w:szCs w:val="20"/>
              </w:rPr>
              <w:t xml:space="preserve">Files</w:t>
            </w:r>
          </w:p>
        </w:tc>
        <w:tc>
          <w:tcPr>
            <w:tcW w:type="dxa" w:w="7738"/>
            <w:tcBorders>
              <w:top w:val="single" w:color="D5DEEA" w:sz="4"/>
              <w:left w:val="single" w:color="D5DEEA" w:sz="4"/>
              <w:bottom w:val="single" w:color="D5DEEA" w:sz="4"/>
              <w:right w:val="single" w:color="D5DEEA" w:sz="4"/>
            </w:tcBorders>
            <w:tcMar>
              <w:top w:type="dxa" w:w="90"/>
              <w:left w:type="dxa" w:w="140"/>
              <w:bottom w:type="dxa" w:w="90"/>
              <w:right w:type="dxa" w:w="140"/>
            </w:tcMar>
          </w:tcPr>
          <w:p>
            <w:pPr>
              <w:spacing w:after="30" w:before="0" w:line="264"/>
            </w:pPr>
            <w:r>
              <w:rPr>
                <w:rFonts w:ascii="Arial" w:cs="Arial" w:eastAsia="Arial" w:hAnsi="Arial"/>
                <w:b w:val="false"/>
                <w:bCs w:val="false"/>
                <w:color w:val="1F2937"/>
                <w:sz w:val="20"/>
                <w:szCs w:val="20"/>
              </w:rPr>
              <w:t xml:space="preserve">In your team’s Git repository, created from project_repo_template.zip: README.md · 01_problem_statement.md · governance.md  (+ 00_pitch.md if you bring your own idea)</w:t>
            </w:r>
          </w:p>
        </w:tc>
      </w:tr>
      <w:tr>
        <w:trPr>
          <w:cantSplit/>
        </w:trPr>
        <w:tc>
          <w:tcPr>
            <w:tcW w:type="dxa" w:w="1900"/>
            <w:tcBorders>
              <w:top w:val="single" w:color="D5DEEA" w:sz="4"/>
              <w:left w:val="single" w:color="D5DEEA" w:sz="4"/>
              <w:bottom w:val="single" w:color="D5DEEA" w:sz="4"/>
              <w:right w:val="single" w:color="D5DEEA" w:sz="4"/>
            </w:tcBorders>
            <w:shd w:fill="EAEFF6" w:color="auto" w:val="clear"/>
            <w:tcMar>
              <w:top w:type="dxa" w:w="90"/>
              <w:left w:type="dxa" w:w="140"/>
              <w:bottom w:type="dxa" w:w="90"/>
              <w:right w:type="dxa" w:w="140"/>
            </w:tcMar>
          </w:tcPr>
          <w:p>
            <w:pPr>
              <w:spacing w:after="30" w:before="0" w:line="264"/>
            </w:pPr>
            <w:r>
              <w:rPr>
                <w:rFonts w:ascii="Arial" w:cs="Arial" w:eastAsia="Arial" w:hAnsi="Arial"/>
                <w:b/>
                <w:bCs/>
                <w:color w:val="202448"/>
                <w:sz w:val="20"/>
                <w:szCs w:val="20"/>
              </w:rPr>
              <w:t xml:space="preserve">Rule</w:t>
            </w:r>
          </w:p>
        </w:tc>
        <w:tc>
          <w:tcPr>
            <w:tcW w:type="dxa" w:w="7738"/>
            <w:tcBorders>
              <w:top w:val="single" w:color="D5DEEA" w:sz="4"/>
              <w:left w:val="single" w:color="D5DEEA" w:sz="4"/>
              <w:bottom w:val="single" w:color="D5DEEA" w:sz="4"/>
              <w:right w:val="single" w:color="D5DEEA" w:sz="4"/>
            </w:tcBorders>
            <w:tcMar>
              <w:top w:type="dxa" w:w="90"/>
              <w:left w:type="dxa" w:w="140"/>
              <w:bottom w:type="dxa" w:w="90"/>
              <w:right w:type="dxa" w:w="140"/>
            </w:tcMar>
          </w:tcPr>
          <w:p>
            <w:pPr>
              <w:spacing w:after="30" w:before="0" w:line="264"/>
            </w:pPr>
            <w:r>
              <w:rPr>
                <w:rFonts w:ascii="Arial" w:cs="Arial" w:eastAsia="Arial" w:hAnsi="Arial"/>
                <w:b w:val="false"/>
                <w:bCs w:val="false"/>
                <w:color w:val="1F2937"/>
                <w:sz w:val="20"/>
                <w:szCs w:val="20"/>
              </w:rPr>
              <w:t xml:space="preserve">Committed by at least two members, each with their own Git account</w:t>
            </w:r>
          </w:p>
        </w:tc>
      </w:tr>
    </w:tbl>
    <w:p>
      <w:pPr>
        <w:pStyle w:val="Heading2"/>
        <w:keepNext/>
        <w:pBdr>
          <w:bottom w:val="single" w:color="2EAEE0" w:sz="6" w:space="4"/>
        </w:pBdr>
        <w:spacing w:after="120" w:before="280"/>
      </w:pPr>
      <w:r>
        <w:rPr>
          <w:rFonts w:ascii="Arial" w:cs="Arial" w:eastAsia="Arial" w:hAnsi="Arial"/>
          <w:b/>
          <w:bCs/>
          <w:color w:val="202448"/>
          <w:sz w:val="26"/>
          <w:szCs w:val="26"/>
        </w:rPr>
        <w:t xml:space="preserve">Why this assignment</w:t>
      </w:r>
    </w:p>
    <w:p>
      <w:pPr>
        <w:spacing w:after="120" w:before="0" w:line="264"/>
      </w:pPr>
      <w:r>
        <w:rPr>
          <w:rFonts w:ascii="Arial" w:cs="Arial" w:eastAsia="Arial" w:hAnsi="Arial"/>
          <w:color w:val="1F2937"/>
          <w:sz w:val="20"/>
          <w:szCs w:val="20"/>
        </w:rPr>
        <w:t xml:space="preserve">Most AI projects that fail, fail before any model is trained: the pain was mis-diagnosed, the do-nothing option was never priced, or AI was the answer to a question nobody had asked. This file is the foundation of everything you will defend at the oral — the sizing (Assignment 2), the MVP (Session 3), the metrics and the A/B test all start from it.</w:t>
      </w:r>
    </w:p>
    <w:p>
      <w:pPr>
        <w:spacing w:after="120" w:before="0" w:line="264"/>
      </w:pPr>
      <w:r>
        <w:rPr>
          <w:rFonts w:ascii="Arial" w:cs="Arial" w:eastAsia="Arial" w:hAnsi="Arial"/>
          <w:color w:val="1F2937"/>
          <w:sz w:val="20"/>
          <w:szCs w:val="20"/>
        </w:rPr>
        <w:t xml:space="preserve">Same team, same agent as in Agentic Workflows: there, you build and test it; here, you decide whether it should ship, and how.</w:t>
      </w:r>
    </w:p>
    <w:p>
      <w:pPr>
        <w:pStyle w:val="Heading2"/>
        <w:keepNext/>
        <w:pBdr>
          <w:bottom w:val="single" w:color="2EAEE0" w:sz="6" w:space="4"/>
        </w:pBdr>
        <w:spacing w:after="120" w:before="280"/>
      </w:pPr>
      <w:r>
        <w:rPr>
          <w:rFonts w:ascii="Arial" w:cs="Arial" w:eastAsia="Arial" w:hAnsi="Arial"/>
          <w:b/>
          <w:bCs/>
          <w:color w:val="202448"/>
          <w:sz w:val="26"/>
          <w:szCs w:val="26"/>
        </w:rPr>
        <w:t xml:space="preserve">What to do</w:t>
      </w:r>
    </w:p>
    <w:p>
      <w:pPr>
        <w:pStyle w:val="ListParagraph"/>
        <w:numPr>
          <w:ilvl w:val="0"/>
          <w:numId w:val="2"/>
        </w:numPr>
        <w:spacing w:after="110" w:line="264"/>
      </w:pPr>
      <w:r>
        <w:rPr>
          <w:rFonts w:ascii="Arial" w:cs="Arial" w:eastAsia="Arial" w:hAnsi="Arial"/>
          <w:b/>
          <w:bCs/>
          <w:color w:val="1F2937"/>
          <w:sz w:val="20"/>
          <w:szCs w:val="20"/>
        </w:rPr>
        <w:t xml:space="preserve">Form your team and choose your agent. </w:t>
      </w:r>
      <w:r>
        <w:rPr>
          <w:rFonts w:ascii="Arial" w:cs="Arial" w:eastAsia="Arial" w:hAnsi="Arial"/>
          <w:color w:val="1F2937"/>
          <w:sz w:val="20"/>
          <w:szCs w:val="20"/>
        </w:rPr>
        <w:t xml:space="preserve">Start from one of the eight proposals in the project document, or bring your own idea and write 00_pitch.md (it must pass the seven-point checklist). Fill in README.md: team, company, the agent’s job in one sentence — “When [trigger], the agent [does], producing [outcome]” — trust level per step, one thing it must never do.</w:t>
      </w:r>
    </w:p>
    <w:p>
      <w:pPr>
        <w:pStyle w:val="ListParagraph"/>
        <w:numPr>
          <w:ilvl w:val="0"/>
          <w:numId w:val="2"/>
        </w:numPr>
        <w:spacing w:after="110" w:line="264"/>
      </w:pPr>
      <w:r>
        <w:rPr>
          <w:rFonts w:ascii="Arial" w:cs="Arial" w:eastAsia="Arial" w:hAnsi="Arial"/>
          <w:b/>
          <w:bCs/>
          <w:color w:val="1F2937"/>
          <w:sz w:val="20"/>
          <w:szCs w:val="20"/>
        </w:rPr>
        <w:t xml:space="preserve">Write the problem in one sentence, </w:t>
      </w:r>
      <w:r>
        <w:rPr>
          <w:rFonts w:ascii="Arial" w:cs="Arial" w:eastAsia="Arial" w:hAnsi="Arial"/>
          <w:color w:val="1F2937"/>
          <w:sz w:val="20"/>
          <w:szCs w:val="20"/>
        </w:rPr>
        <w:t xml:space="preserve">with at least one number: “[Who] experiences [pain] when [situation], costing [quantified impact]; today they [do-nothing baseline]. Success looks like [measurable outcome].” For every number, say whether it is measured, an analogy (with its source) or a guess.</w:t>
      </w:r>
    </w:p>
    <w:p>
      <w:pPr>
        <w:pStyle w:val="ListParagraph"/>
        <w:numPr>
          <w:ilvl w:val="0"/>
          <w:numId w:val="2"/>
        </w:numPr>
        <w:spacing w:after="110" w:line="264"/>
      </w:pPr>
      <w:r>
        <w:rPr>
          <w:rFonts w:ascii="Arial" w:cs="Arial" w:eastAsia="Arial" w:hAnsi="Arial"/>
          <w:b/>
          <w:bCs/>
          <w:color w:val="1F2937"/>
          <w:sz w:val="20"/>
          <w:szCs w:val="20"/>
        </w:rPr>
        <w:t xml:space="preserve">Draw the problem tree: </w:t>
      </w:r>
      <w:r>
        <w:rPr>
          <w:rFonts w:ascii="Arial" w:cs="Arial" w:eastAsia="Arial" w:hAnsi="Arial"/>
          <w:color w:val="1F2937"/>
          <w:sz w:val="20"/>
          <w:szCs w:val="20"/>
        </w:rPr>
        <w:t xml:space="preserve">symptom → problem → root cause (5 Whys). Then say what would fix the cause — and whether that fix is AI, a rule, a process change or a documentation fix.</w:t>
      </w:r>
    </w:p>
    <w:p>
      <w:pPr>
        <w:pStyle w:val="ListParagraph"/>
        <w:numPr>
          <w:ilvl w:val="0"/>
          <w:numId w:val="2"/>
        </w:numPr>
        <w:spacing w:after="110" w:line="264"/>
      </w:pPr>
      <w:r>
        <w:rPr>
          <w:rFonts w:ascii="Arial" w:cs="Arial" w:eastAsia="Arial" w:hAnsi="Arial"/>
          <w:b/>
          <w:bCs/>
          <w:color w:val="1F2937"/>
          <w:sz w:val="20"/>
          <w:szCs w:val="20"/>
        </w:rPr>
        <w:t xml:space="preserve">Answer “Is AI the right tool?” </w:t>
      </w:r>
      <w:r>
        <w:rPr>
          <w:rFonts w:ascii="Arial" w:cs="Arial" w:eastAsia="Arial" w:hAnsi="Arial"/>
          <w:color w:val="1F2937"/>
          <w:sz w:val="20"/>
          <w:szCs w:val="20"/>
        </w:rPr>
        <w:t xml:space="preserve">— the four questions from last week: is there a rule that solves 80 %? Prediction/generation or organisational decision? Do we have the data? What does one error cost? Choose the level (rule, classical ML, GenAI, agent) and say why not the level below.</w:t>
      </w:r>
    </w:p>
    <w:p>
      <w:pPr>
        <w:pStyle w:val="ListParagraph"/>
        <w:numPr>
          <w:ilvl w:val="0"/>
          <w:numId w:val="2"/>
        </w:numPr>
        <w:spacing w:after="110" w:line="264"/>
      </w:pPr>
      <w:r>
        <w:rPr>
          <w:rFonts w:ascii="Arial" w:cs="Arial" w:eastAsia="Arial" w:hAnsi="Arial"/>
          <w:b/>
          <w:bCs/>
          <w:color w:val="1F2937"/>
          <w:sz w:val="20"/>
          <w:szCs w:val="20"/>
        </w:rPr>
        <w:t xml:space="preserve">Check your agent against the four selection questions: </w:t>
      </w:r>
      <w:r>
        <w:rPr>
          <w:rFonts w:ascii="Arial" w:cs="Arial" w:eastAsia="Arial" w:hAnsi="Arial"/>
          <w:color w:val="1F2937"/>
          <w:sz w:val="20"/>
          <w:szCs w:val="20"/>
        </w:rPr>
        <w:t xml:space="preserve">high frequency, bounded decision space, measurable success, recoverable failure — one line each.</w:t>
      </w:r>
    </w:p>
    <w:p>
      <w:pPr>
        <w:pStyle w:val="ListParagraph"/>
        <w:numPr>
          <w:ilvl w:val="0"/>
          <w:numId w:val="2"/>
        </w:numPr>
        <w:spacing w:after="110" w:line="264"/>
      </w:pPr>
      <w:r>
        <w:rPr>
          <w:rFonts w:ascii="Arial" w:cs="Arial" w:eastAsia="Arial" w:hAnsi="Arial"/>
          <w:b/>
          <w:bCs/>
          <w:color w:val="1F2937"/>
          <w:sz w:val="20"/>
          <w:szCs w:val="20"/>
        </w:rPr>
        <w:t xml:space="preserve">Work backwards: </w:t>
      </w:r>
      <w:r>
        <w:rPr>
          <w:rFonts w:ascii="Arial" w:cs="Arial" w:eastAsia="Arial" w:hAnsi="Arial"/>
          <w:color w:val="1F2937"/>
          <w:sz w:val="20"/>
          <w:szCs w:val="20"/>
        </w:rPr>
        <w:t xml:space="preserve">a one-paragraph press release dated launch day (who it is for, what changed, one number, one customer quote), then three hypotheses that “would have to be true”, each with how and in which session you will test it.</w:t>
      </w:r>
    </w:p>
    <w:p>
      <w:pPr>
        <w:pStyle w:val="ListParagraph"/>
        <w:numPr>
          <w:ilvl w:val="0"/>
          <w:numId w:val="2"/>
        </w:numPr>
        <w:spacing w:after="110" w:line="264"/>
      </w:pPr>
      <w:r>
        <w:rPr>
          <w:rFonts w:ascii="Arial" w:cs="Arial" w:eastAsia="Arial" w:hAnsi="Arial"/>
          <w:b/>
          <w:bCs/>
          <w:color w:val="1F2937"/>
          <w:sz w:val="20"/>
          <w:szCs w:val="20"/>
        </w:rPr>
        <w:t xml:space="preserve">Price the do-nothing baseline: </w:t>
      </w:r>
      <w:r>
        <w:rPr>
          <w:rFonts w:ascii="Arial" w:cs="Arial" w:eastAsia="Arial" w:hAnsi="Arial"/>
          <w:color w:val="1F2937"/>
          <w:sz w:val="20"/>
          <w:szCs w:val="20"/>
        </w:rPr>
        <w:t xml:space="preserve">what happens in 12 months if nobody builds anything? It is not zero — the team gets faster, the documentation improves, volumes grow.</w:t>
      </w:r>
    </w:p>
    <w:p>
      <w:pPr>
        <w:pStyle w:val="ListParagraph"/>
        <w:numPr>
          <w:ilvl w:val="0"/>
          <w:numId w:val="2"/>
        </w:numPr>
        <w:spacing w:after="110" w:line="264"/>
      </w:pPr>
      <w:r>
        <w:rPr>
          <w:rFonts w:ascii="Arial" w:cs="Arial" w:eastAsia="Arial" w:hAnsi="Arial"/>
          <w:b/>
          <w:bCs/>
          <w:color w:val="1F2937"/>
          <w:sz w:val="20"/>
          <w:szCs w:val="20"/>
        </w:rPr>
        <w:t xml:space="preserve">Create governance.md </w:t>
      </w:r>
      <w:r>
        <w:rPr>
          <w:rFonts w:ascii="Arial" w:cs="Arial" w:eastAsia="Arial" w:hAnsi="Arial"/>
          <w:color w:val="1F2937"/>
          <w:sz w:val="20"/>
          <w:szCs w:val="20"/>
        </w:rPr>
        <w:t xml:space="preserve">with provisional answers to the six questions: EU AI Act risk tier · whose data, on what legal basis · who is accountable and where is the human · what it must never do · explainable to whom · what happens to the people it cannot serve. Mark what you still have to check.</w:t>
      </w:r>
    </w:p>
    <w:p>
      <w:pPr>
        <w:pStyle w:val="Heading2"/>
        <w:keepNext/>
        <w:pBdr>
          <w:bottom w:val="single" w:color="2EAEE0" w:sz="6" w:space="4"/>
        </w:pBdr>
        <w:spacing w:after="120" w:before="280"/>
      </w:pPr>
      <w:r>
        <w:rPr>
          <w:rFonts w:ascii="Arial" w:cs="Arial" w:eastAsia="Arial" w:hAnsi="Arial"/>
          <w:b/>
          <w:bCs/>
          <w:color w:val="202448"/>
          <w:sz w:val="26"/>
          <w:szCs w:val="26"/>
        </w:rPr>
        <w:t xml:space="preserve">What good looks like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D5DEEA" w:sz="4"/>
              <w:left w:val="single" w:color="D5DEEA" w:sz="4"/>
              <w:bottom w:val="single" w:color="D5DEEA" w:sz="4"/>
              <w:right w:val="single" w:color="D5DEEA" w:sz="4"/>
            </w:tcBorders>
            <w:shd w:fill="202448" w:color="auto" w:val="clear"/>
            <w:tcMar>
              <w:top w:type="dxa" w:w="90"/>
              <w:left w:type="dxa" w:w="140"/>
              <w:bottom w:type="dxa" w:w="90"/>
              <w:right w:type="dxa" w:w="140"/>
            </w:tcMar>
          </w:tcPr>
          <w:p>
            <w:pPr>
              <w:spacing w:after="30" w:before="0" w:line="264"/>
            </w:pPr>
            <w:r>
              <w:rPr>
                <w:rFonts w:ascii="Arial" w:cs="Arial" w:eastAsia="Arial" w:hAnsi="Arial"/>
                <w:b/>
                <w:bCs/>
                <w:color w:val="FFFFFF"/>
                <w:sz w:val="20"/>
                <w:szCs w:val="20"/>
              </w:rPr>
              <w:t xml:space="preserve">Weak</w:t>
            </w:r>
          </w:p>
        </w:tc>
        <w:tc>
          <w:tcPr>
            <w:tcW w:type="dxa" w:w="4819"/>
            <w:tcBorders>
              <w:top w:val="single" w:color="D5DEEA" w:sz="4"/>
              <w:left w:val="single" w:color="D5DEEA" w:sz="4"/>
              <w:bottom w:val="single" w:color="D5DEEA" w:sz="4"/>
              <w:right w:val="single" w:color="D5DEEA" w:sz="4"/>
            </w:tcBorders>
            <w:shd w:fill="202448" w:color="auto" w:val="clear"/>
            <w:tcMar>
              <w:top w:type="dxa" w:w="90"/>
              <w:left w:type="dxa" w:w="140"/>
              <w:bottom w:type="dxa" w:w="90"/>
              <w:right w:type="dxa" w:w="140"/>
            </w:tcMar>
          </w:tcPr>
          <w:p>
            <w:pPr>
              <w:spacing w:after="30" w:before="0" w:line="264"/>
            </w:pPr>
            <w:r>
              <w:rPr>
                <w:rFonts w:ascii="Arial" w:cs="Arial" w:eastAsia="Arial" w:hAnsi="Arial"/>
                <w:b/>
                <w:bCs/>
                <w:color w:val="FFFFFF"/>
                <w:sz w:val="20"/>
                <w:szCs w:val="20"/>
              </w:rPr>
              <w:t xml:space="preserve">Strong</w:t>
            </w:r>
          </w:p>
        </w:tc>
      </w:tr>
      <w:tr>
        <w:trPr>
          <w:cantSplit/>
          <w:tblHeader w:val="false"/>
        </w:trPr>
        <w:tc>
          <w:tcPr>
            <w:tcW w:type="dxa" w:w="4819"/>
            <w:tcBorders>
              <w:top w:val="single" w:color="D5DEEA" w:sz="4"/>
              <w:left w:val="single" w:color="D5DEEA" w:sz="4"/>
              <w:bottom w:val="single" w:color="D5DEEA" w:sz="4"/>
              <w:right w:val="single" w:color="D5DEEA" w:sz="4"/>
            </w:tcBorders>
            <w:tcMar>
              <w:top w:type="dxa" w:w="90"/>
              <w:left w:type="dxa" w:w="140"/>
              <w:bottom w:type="dxa" w:w="90"/>
              <w:right w:type="dxa" w:w="140"/>
            </w:tcMar>
          </w:tcPr>
          <w:p>
            <w:pPr>
              <w:spacing w:after="30" w:before="0" w:line="264"/>
            </w:pPr>
            <w:r>
              <w:rPr>
                <w:rFonts w:ascii="Arial" w:cs="Arial" w:eastAsia="Arial" w:hAnsi="Arial"/>
                <w:color w:val="1F2937"/>
                <w:sz w:val="20"/>
                <w:szCs w:val="20"/>
              </w:rPr>
              <w:t xml:space="preserve">“Customers are frustrated with support.”</w:t>
            </w:r>
          </w:p>
        </w:tc>
        <w:tc>
          <w:tcPr>
            <w:tcW w:type="dxa" w:w="4819"/>
            <w:tcBorders>
              <w:top w:val="single" w:color="D5DEEA" w:sz="4"/>
              <w:left w:val="single" w:color="D5DEEA" w:sz="4"/>
              <w:bottom w:val="single" w:color="D5DEEA" w:sz="4"/>
              <w:right w:val="single" w:color="D5DEEA" w:sz="4"/>
            </w:tcBorders>
            <w:tcMar>
              <w:top w:type="dxa" w:w="90"/>
              <w:left w:type="dxa" w:w="140"/>
              <w:bottom w:type="dxa" w:w="90"/>
              <w:right w:type="dxa" w:w="140"/>
            </w:tcMar>
          </w:tcPr>
          <w:p>
            <w:pPr>
              <w:spacing w:after="30" w:before="0" w:line="264"/>
            </w:pPr>
            <w:r>
              <w:rPr>
                <w:rFonts w:ascii="Arial" w:cs="Arial" w:eastAsia="Arial" w:hAnsi="Arial"/>
                <w:color w:val="1F2937"/>
                <w:sz w:val="20"/>
                <w:szCs w:val="20"/>
              </w:rPr>
              <w:t xml:space="preserve">A pain expressed as a cost — hours, euros, SLA penalties, churn — with its source type.</w:t>
            </w:r>
          </w:p>
        </w:tc>
      </w:tr>
      <w:tr>
        <w:trPr>
          <w:cantSplit/>
          <w:tblHeader w:val="false"/>
        </w:trPr>
        <w:tc>
          <w:tcPr>
            <w:tcW w:type="dxa" w:w="4819"/>
            <w:tcBorders>
              <w:top w:val="single" w:color="D5DEEA" w:sz="4"/>
              <w:left w:val="single" w:color="D5DEEA" w:sz="4"/>
              <w:bottom w:val="single" w:color="D5DEEA" w:sz="4"/>
              <w:right w:val="single" w:color="D5DEEA" w:sz="4"/>
            </w:tcBorders>
            <w:tcMar>
              <w:top w:type="dxa" w:w="90"/>
              <w:left w:type="dxa" w:w="140"/>
              <w:bottom w:type="dxa" w:w="90"/>
              <w:right w:type="dxa" w:w="140"/>
            </w:tcMar>
          </w:tcPr>
          <w:p>
            <w:pPr>
              <w:spacing w:after="30" w:before="0" w:line="264"/>
            </w:pPr>
            <w:r>
              <w:rPr>
                <w:rFonts w:ascii="Arial" w:cs="Arial" w:eastAsia="Arial" w:hAnsi="Arial"/>
                <w:color w:val="1F2937"/>
                <w:sz w:val="20"/>
                <w:szCs w:val="20"/>
              </w:rPr>
              <w:t xml:space="preserve">“Tickets are exploding.” (a symptom)</w:t>
            </w:r>
          </w:p>
        </w:tc>
        <w:tc>
          <w:tcPr>
            <w:tcW w:type="dxa" w:w="4819"/>
            <w:tcBorders>
              <w:top w:val="single" w:color="D5DEEA" w:sz="4"/>
              <w:left w:val="single" w:color="D5DEEA" w:sz="4"/>
              <w:bottom w:val="single" w:color="D5DEEA" w:sz="4"/>
              <w:right w:val="single" w:color="D5DEEA" w:sz="4"/>
            </w:tcBorders>
            <w:tcMar>
              <w:top w:type="dxa" w:w="90"/>
              <w:left w:type="dxa" w:w="140"/>
              <w:bottom w:type="dxa" w:w="90"/>
              <w:right w:type="dxa" w:w="140"/>
            </w:tcMar>
          </w:tcPr>
          <w:p>
            <w:pPr>
              <w:spacing w:after="30" w:before="0" w:line="264"/>
            </w:pPr>
            <w:r>
              <w:rPr>
                <w:rFonts w:ascii="Arial" w:cs="Arial" w:eastAsia="Arial" w:hAnsi="Arial"/>
                <w:color w:val="1F2937"/>
                <w:sz w:val="20"/>
                <w:szCs w:val="20"/>
              </w:rPr>
              <w:t xml:space="preserve">The cause behind it, reached with the 5 Whys — and a fix aimed at the cause.</w:t>
            </w:r>
          </w:p>
        </w:tc>
      </w:tr>
      <w:tr>
        <w:trPr>
          <w:cantSplit/>
          <w:tblHeader w:val="false"/>
        </w:trPr>
        <w:tc>
          <w:tcPr>
            <w:tcW w:type="dxa" w:w="4819"/>
            <w:tcBorders>
              <w:top w:val="single" w:color="D5DEEA" w:sz="4"/>
              <w:left w:val="single" w:color="D5DEEA" w:sz="4"/>
              <w:bottom w:val="single" w:color="D5DEEA" w:sz="4"/>
              <w:right w:val="single" w:color="D5DEEA" w:sz="4"/>
            </w:tcBorders>
            <w:tcMar>
              <w:top w:type="dxa" w:w="90"/>
              <w:left w:type="dxa" w:w="140"/>
              <w:bottom w:type="dxa" w:w="90"/>
              <w:right w:type="dxa" w:w="140"/>
            </w:tcMar>
          </w:tcPr>
          <w:p>
            <w:pPr>
              <w:spacing w:after="30" w:before="0" w:line="264"/>
            </w:pPr>
            <w:r>
              <w:rPr>
                <w:rFonts w:ascii="Arial" w:cs="Arial" w:eastAsia="Arial" w:hAnsi="Arial"/>
                <w:color w:val="1F2937"/>
                <w:sz w:val="20"/>
                <w:szCs w:val="20"/>
              </w:rPr>
              <w:t xml:space="preserve">AI because it is the topic of the course.</w:t>
            </w:r>
          </w:p>
        </w:tc>
        <w:tc>
          <w:tcPr>
            <w:tcW w:type="dxa" w:w="4819"/>
            <w:tcBorders>
              <w:top w:val="single" w:color="D5DEEA" w:sz="4"/>
              <w:left w:val="single" w:color="D5DEEA" w:sz="4"/>
              <w:bottom w:val="single" w:color="D5DEEA" w:sz="4"/>
              <w:right w:val="single" w:color="D5DEEA" w:sz="4"/>
            </w:tcBorders>
            <w:tcMar>
              <w:top w:type="dxa" w:w="90"/>
              <w:left w:type="dxa" w:w="140"/>
              <w:bottom w:type="dxa" w:w="90"/>
              <w:right w:type="dxa" w:w="140"/>
            </w:tcMar>
          </w:tcPr>
          <w:p>
            <w:pPr>
              <w:spacing w:after="30" w:before="0" w:line="264"/>
            </w:pPr>
            <w:r>
              <w:rPr>
                <w:rFonts w:ascii="Arial" w:cs="Arial" w:eastAsia="Arial" w:hAnsi="Arial"/>
                <w:color w:val="1F2937"/>
                <w:sz w:val="20"/>
                <w:szCs w:val="20"/>
              </w:rPr>
              <w:t xml:space="preserve">AI justified against a rule and against doing nothing. Two of last week’s six scenarios did not need new AI.</w:t>
            </w:r>
          </w:p>
        </w:tc>
      </w:tr>
      <w:tr>
        <w:trPr>
          <w:cantSplit/>
          <w:tblHeader w:val="false"/>
        </w:trPr>
        <w:tc>
          <w:tcPr>
            <w:tcW w:type="dxa" w:w="4819"/>
            <w:tcBorders>
              <w:top w:val="single" w:color="D5DEEA" w:sz="4"/>
              <w:left w:val="single" w:color="D5DEEA" w:sz="4"/>
              <w:bottom w:val="single" w:color="D5DEEA" w:sz="4"/>
              <w:right w:val="single" w:color="D5DEEA" w:sz="4"/>
            </w:tcBorders>
            <w:tcMar>
              <w:top w:type="dxa" w:w="90"/>
              <w:left w:type="dxa" w:w="140"/>
              <w:bottom w:type="dxa" w:w="90"/>
              <w:right w:type="dxa" w:w="140"/>
            </w:tcMar>
          </w:tcPr>
          <w:p>
            <w:pPr>
              <w:spacing w:after="30" w:before="0" w:line="264"/>
            </w:pPr>
            <w:r>
              <w:rPr>
                <w:rFonts w:ascii="Arial" w:cs="Arial" w:eastAsia="Arial" w:hAnsi="Arial"/>
                <w:color w:val="1F2937"/>
                <w:sz w:val="20"/>
                <w:szCs w:val="20"/>
              </w:rPr>
              <w:t xml:space="preserve">Hypotheses that are wishes (“users will love it”).</w:t>
            </w:r>
          </w:p>
        </w:tc>
        <w:tc>
          <w:tcPr>
            <w:tcW w:type="dxa" w:w="4819"/>
            <w:tcBorders>
              <w:top w:val="single" w:color="D5DEEA" w:sz="4"/>
              <w:left w:val="single" w:color="D5DEEA" w:sz="4"/>
              <w:bottom w:val="single" w:color="D5DEEA" w:sz="4"/>
              <w:right w:val="single" w:color="D5DEEA" w:sz="4"/>
            </w:tcBorders>
            <w:tcMar>
              <w:top w:type="dxa" w:w="90"/>
              <w:left w:type="dxa" w:w="140"/>
              <w:bottom w:type="dxa" w:w="90"/>
              <w:right w:type="dxa" w:w="140"/>
            </w:tcMar>
          </w:tcPr>
          <w:p>
            <w:pPr>
              <w:spacing w:after="30" w:before="0" w:line="264"/>
            </w:pPr>
            <w:r>
              <w:rPr>
                <w:rFonts w:ascii="Arial" w:cs="Arial" w:eastAsia="Arial" w:hAnsi="Arial"/>
                <w:color w:val="1F2937"/>
                <w:sz w:val="20"/>
                <w:szCs w:val="20"/>
              </w:rPr>
              <w:t xml:space="preserve">Hypotheses you can test on 200 tickets in Session 4, or measure in Session 5.</w:t>
            </w:r>
          </w:p>
        </w:tc>
      </w:tr>
      <w:tr>
        <w:trPr>
          <w:cantSplit/>
          <w:tblHeader w:val="false"/>
        </w:trPr>
        <w:tc>
          <w:tcPr>
            <w:tcW w:type="dxa" w:w="4819"/>
            <w:tcBorders>
              <w:top w:val="single" w:color="D5DEEA" w:sz="4"/>
              <w:left w:val="single" w:color="D5DEEA" w:sz="4"/>
              <w:bottom w:val="single" w:color="D5DEEA" w:sz="4"/>
              <w:right w:val="single" w:color="D5DEEA" w:sz="4"/>
            </w:tcBorders>
            <w:tcMar>
              <w:top w:type="dxa" w:w="90"/>
              <w:left w:type="dxa" w:w="140"/>
              <w:bottom w:type="dxa" w:w="90"/>
              <w:right w:type="dxa" w:w="140"/>
            </w:tcMar>
          </w:tcPr>
          <w:p>
            <w:pPr>
              <w:spacing w:after="30" w:before="0" w:line="264"/>
            </w:pPr>
            <w:r>
              <w:rPr>
                <w:rFonts w:ascii="Arial" w:cs="Arial" w:eastAsia="Arial" w:hAnsi="Arial"/>
                <w:color w:val="1F2937"/>
                <w:sz w:val="20"/>
                <w:szCs w:val="20"/>
              </w:rPr>
              <w:t xml:space="preserve">Governance answers that fit any chatbot.</w:t>
            </w:r>
          </w:p>
        </w:tc>
        <w:tc>
          <w:tcPr>
            <w:tcW w:type="dxa" w:w="4819"/>
            <w:tcBorders>
              <w:top w:val="single" w:color="D5DEEA" w:sz="4"/>
              <w:left w:val="single" w:color="D5DEEA" w:sz="4"/>
              <w:bottom w:val="single" w:color="D5DEEA" w:sz="4"/>
              <w:right w:val="single" w:color="D5DEEA" w:sz="4"/>
            </w:tcBorders>
            <w:tcMar>
              <w:top w:type="dxa" w:w="90"/>
              <w:left w:type="dxa" w:w="140"/>
              <w:bottom w:type="dxa" w:w="90"/>
              <w:right w:type="dxa" w:w="140"/>
            </w:tcMar>
          </w:tcPr>
          <w:p>
            <w:pPr>
              <w:spacing w:after="30" w:before="0" w:line="264"/>
            </w:pPr>
            <w:r>
              <w:rPr>
                <w:rFonts w:ascii="Arial" w:cs="Arial" w:eastAsia="Arial" w:hAnsi="Arial"/>
                <w:color w:val="1F2937"/>
                <w:sz w:val="20"/>
                <w:szCs w:val="20"/>
              </w:rPr>
              <w:t xml:space="preserve">Answers specific to your agent: its data, its users, the error that would hurt most.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AEE0" w:sz="24"/>
              <w:bottom w:val="none" w:color="FFFFFF" w:sz="0"/>
              <w:right w:val="none" w:color="FFFFFF" w:sz="0"/>
            </w:tcBorders>
            <w:shd w:fill="EAEFF6" w:color="auto" w:val="clear"/>
            <w:tcMar>
              <w:top w:type="dxa" w:w="140"/>
              <w:left w:type="dxa" w:w="220"/>
              <w:bottom w:type="dxa" w:w="120"/>
              <w:right w:type="dxa" w:w="220"/>
            </w:tcMar>
          </w:tcPr>
          <w:p>
            <w:pPr>
              <w:spacing w:after="80" w:before="0" w:line="264"/>
            </w:pPr>
            <w:r>
              <w:rPr>
                <w:rFonts w:ascii="Arial" w:cs="Arial" w:eastAsia="Arial" w:hAnsi="Arial"/>
                <w:b/>
                <w:bCs/>
                <w:color w:val="035CA0"/>
                <w:sz w:val="20"/>
                <w:szCs w:val="20"/>
              </w:rPr>
              <w:t xml:space="preserve">Example — illustrative, not one of the eight proposals</w:t>
            </w:r>
          </w:p>
          <w:p>
            <w:pPr>
              <w:spacing w:after="70" w:before="0" w:line="264"/>
            </w:pPr>
            <w:r>
              <w:rPr>
                <w:rFonts w:ascii="Arial" w:cs="Arial" w:eastAsia="Arial" w:hAnsi="Arial"/>
                <w:b/>
                <w:bCs/>
                <w:color w:val="1F2937"/>
                <w:sz w:val="20"/>
                <w:szCs w:val="20"/>
              </w:rPr>
              <w:t xml:space="preserve">Problem in one sentence: </w:t>
            </w:r>
            <w:r>
              <w:rPr>
                <w:rFonts w:ascii="Arial" w:cs="Arial" w:eastAsia="Arial" w:hAnsi="Arial"/>
                <w:color w:val="1F2937"/>
                <w:sz w:val="20"/>
                <w:szCs w:val="20"/>
              </w:rPr>
              <w:t xml:space="preserve">Tier-1 agents at TravelDesk, a B2B travel-booking SaaS (900 corporate customers, 18,000 fare-rule tickets a month), lose about 6 minutes per ticket looking up change and cancellation rules — about 1,800 agent-hours a month; today they search a 300-page policy wiki by hand. Success looks like a median handling time below 3 minutes on these tickets, at a constant quality score.</w:t>
            </w:r>
          </w:p>
          <w:p>
            <w:pPr>
              <w:spacing w:after="70" w:before="0" w:line="264"/>
            </w:pPr>
            <w:r>
              <w:rPr>
                <w:rFonts w:ascii="Arial" w:cs="Arial" w:eastAsia="Arial" w:hAnsi="Arial"/>
                <w:b/>
                <w:bCs/>
                <w:color w:val="1F2937"/>
                <w:sz w:val="20"/>
                <w:szCs w:val="20"/>
              </w:rPr>
              <w:t xml:space="preserve">Source types: </w:t>
            </w:r>
            <w:r>
              <w:rPr>
                <w:rFonts w:ascii="Arial" w:cs="Arial" w:eastAsia="Arial" w:hAnsi="Arial"/>
                <w:color w:val="1F2937"/>
                <w:sz w:val="20"/>
                <w:szCs w:val="20"/>
              </w:rPr>
              <w:t xml:space="preserve">18,000 tickets — measured (ticket log). 6 minutes — guess, to be measured on a two-week sample.</w:t>
            </w:r>
          </w:p>
          <w:p>
            <w:pPr>
              <w:spacing w:after="0" w:before="0" w:line="264"/>
            </w:pPr>
            <w:r>
              <w:rPr>
                <w:rFonts w:ascii="Arial" w:cs="Arial" w:eastAsia="Arial" w:hAnsi="Arial"/>
                <w:b/>
                <w:bCs/>
                <w:color w:val="1F2937"/>
                <w:sz w:val="20"/>
                <w:szCs w:val="20"/>
              </w:rPr>
              <w:t xml:space="preserve">One hypothesis: </w:t>
            </w:r>
            <w:r>
              <w:rPr>
                <w:rFonts w:ascii="Arial" w:cs="Arial" w:eastAsia="Arial" w:hAnsi="Arial"/>
                <w:color w:val="1F2937"/>
                <w:sz w:val="20"/>
                <w:szCs w:val="20"/>
              </w:rPr>
              <w:t xml:space="preserve">at least 60 % of fare-rule questions can be answered from the policy wiki alone — guess, tested on 200 tickets with the Session 4 prototype.</w:t>
            </w:r>
          </w:p>
        </w:tc>
      </w:tr>
    </w:tbl>
    <w:p>
      <w:pPr>
        <w:pStyle w:val="Heading2"/>
        <w:keepNext/>
        <w:pBdr>
          <w:bottom w:val="single" w:color="2EAEE0" w:sz="6" w:space="4"/>
        </w:pBdr>
        <w:spacing w:after="120" w:before="280"/>
      </w:pPr>
      <w:r>
        <w:rPr>
          <w:rFonts w:ascii="Arial" w:cs="Arial" w:eastAsia="Arial" w:hAnsi="Arial"/>
          <w:b/>
          <w:bCs/>
          <w:color w:val="202448"/>
          <w:sz w:val="26"/>
          <w:szCs w:val="26"/>
        </w:rPr>
        <w:t xml:space="preserve">Before you commit</w:t>
      </w:r>
    </w:p>
    <w:p>
      <w:pPr>
        <w:pStyle w:val="ListParagraph"/>
        <w:numPr>
          <w:ilvl w:val="0"/>
          <w:numId w:val="3"/>
        </w:numPr>
        <w:spacing w:after="70" w:line="264"/>
      </w:pPr>
      <w:r>
        <w:rPr>
          <w:rFonts w:ascii="Arial" w:cs="Arial" w:eastAsia="Arial" w:hAnsi="Arial"/>
          <w:color w:val="1F2937"/>
          <w:sz w:val="20"/>
          <w:szCs w:val="20"/>
        </w:rPr>
        <w:t xml:space="preserve">README.md says who is in the team, which agent, and its job in one sentence</w:t>
      </w:r>
    </w:p>
    <w:p>
      <w:pPr>
        <w:pStyle w:val="ListParagraph"/>
        <w:numPr>
          <w:ilvl w:val="0"/>
          <w:numId w:val="3"/>
        </w:numPr>
        <w:spacing w:after="70" w:line="264"/>
      </w:pPr>
      <w:r>
        <w:rPr>
          <w:rFonts w:ascii="Arial" w:cs="Arial" w:eastAsia="Arial" w:hAnsi="Arial"/>
          <w:color w:val="1F2937"/>
          <w:sz w:val="20"/>
          <w:szCs w:val="20"/>
        </w:rPr>
        <w:t xml:space="preserve">The problem sentence has at least one number, and every number has a source type</w:t>
      </w:r>
    </w:p>
    <w:p>
      <w:pPr>
        <w:pStyle w:val="ListParagraph"/>
        <w:numPr>
          <w:ilvl w:val="0"/>
          <w:numId w:val="3"/>
        </w:numPr>
        <w:spacing w:after="70" w:line="264"/>
      </w:pPr>
      <w:r>
        <w:rPr>
          <w:rFonts w:ascii="Arial" w:cs="Arial" w:eastAsia="Arial" w:hAnsi="Arial"/>
          <w:color w:val="1F2937"/>
          <w:sz w:val="20"/>
          <w:szCs w:val="20"/>
        </w:rPr>
        <w:t xml:space="preserve">The problem tree goes down to a cause, not a symptom</w:t>
      </w:r>
    </w:p>
    <w:p>
      <w:pPr>
        <w:pStyle w:val="ListParagraph"/>
        <w:numPr>
          <w:ilvl w:val="0"/>
          <w:numId w:val="3"/>
        </w:numPr>
        <w:spacing w:after="70" w:line="264"/>
      </w:pPr>
      <w:r>
        <w:rPr>
          <w:rFonts w:ascii="Arial" w:cs="Arial" w:eastAsia="Arial" w:hAnsi="Arial"/>
          <w:color w:val="1F2937"/>
          <w:sz w:val="20"/>
          <w:szCs w:val="20"/>
        </w:rPr>
        <w:t xml:space="preserve">The AI level is chosen and justified against the level below</w:t>
      </w:r>
    </w:p>
    <w:p>
      <w:pPr>
        <w:pStyle w:val="ListParagraph"/>
        <w:numPr>
          <w:ilvl w:val="0"/>
          <w:numId w:val="3"/>
        </w:numPr>
        <w:spacing w:after="70" w:line="264"/>
      </w:pPr>
      <w:r>
        <w:rPr>
          <w:rFonts w:ascii="Arial" w:cs="Arial" w:eastAsia="Arial" w:hAnsi="Arial"/>
          <w:color w:val="1F2937"/>
          <w:sz w:val="20"/>
          <w:szCs w:val="20"/>
        </w:rPr>
        <w:t xml:space="preserve">Three testable hypotheses, each with a session where it will be tested</w:t>
      </w:r>
    </w:p>
    <w:p>
      <w:pPr>
        <w:pStyle w:val="ListParagraph"/>
        <w:numPr>
          <w:ilvl w:val="0"/>
          <w:numId w:val="3"/>
        </w:numPr>
        <w:spacing w:after="70" w:line="264"/>
      </w:pPr>
      <w:r>
        <w:rPr>
          <w:rFonts w:ascii="Arial" w:cs="Arial" w:eastAsia="Arial" w:hAnsi="Arial"/>
          <w:color w:val="1F2937"/>
          <w:sz w:val="20"/>
          <w:szCs w:val="20"/>
        </w:rPr>
        <w:t xml:space="preserve">The do-nothing baseline is written down — and is not zero</w:t>
      </w:r>
    </w:p>
    <w:p>
      <w:pPr>
        <w:pStyle w:val="ListParagraph"/>
        <w:numPr>
          <w:ilvl w:val="0"/>
          <w:numId w:val="3"/>
        </w:numPr>
        <w:spacing w:after="70" w:line="264"/>
      </w:pPr>
      <w:r>
        <w:rPr>
          <w:rFonts w:ascii="Arial" w:cs="Arial" w:eastAsia="Arial" w:hAnsi="Arial"/>
          <w:color w:val="1F2937"/>
          <w:sz w:val="20"/>
          <w:szCs w:val="20"/>
        </w:rPr>
        <w:t xml:space="preserve">governance.md answers the six questions, provisionally — and at least two members have committed</w:t>
      </w:r>
    </w:p>
    <w:p>
      <w:pPr>
        <w:pStyle w:val="Heading2"/>
        <w:keepNext/>
        <w:pBdr>
          <w:bottom w:val="single" w:color="2EAEE0" w:sz="6" w:space="4"/>
        </w:pBdr>
        <w:spacing w:after="120" w:before="280"/>
      </w:pPr>
      <w:r>
        <w:rPr>
          <w:rFonts w:ascii="Arial" w:cs="Arial" w:eastAsia="Arial" w:hAnsi="Arial"/>
          <w:b/>
          <w:bCs/>
          <w:color w:val="202448"/>
          <w:sz w:val="26"/>
          <w:szCs w:val="26"/>
        </w:rPr>
        <w:t xml:space="preserve">How it counts</w:t>
      </w:r>
    </w:p>
    <w:p>
      <w:pPr>
        <w:spacing w:after="120" w:before="0" w:line="264"/>
      </w:pPr>
      <w:r>
        <w:rPr>
          <w:rFonts w:ascii="Arial" w:cs="Arial" w:eastAsia="Arial" w:hAnsi="Arial"/>
          <w:color w:val="1F2937"/>
          <w:sz w:val="20"/>
          <w:szCs w:val="20"/>
        </w:rPr>
        <w:t xml:space="preserve">This assignment is not graded on its own: it is the first part of your Git deliverable (40 % of the project grade) and the first two beats of your final pitch — the problem and the solution. At the oral, one question is drawn from governance.md, and the individual question (10 %) is about a commit you signed — so everybody commits. Session 3 (MVP design) starts from this file.</w:t>
      </w:r>
    </w:p>
    <w:p>
      <w:pPr>
        <w:spacing w:after="120" w:before="60" w:line="264"/>
      </w:pPr>
      <w:r>
        <w:rPr>
          <w:rFonts w:ascii="Arial" w:cs="Arial" w:eastAsia="Arial" w:hAnsi="Arial"/>
          <w:b/>
          <w:bCs/>
          <w:color w:val="035CA0"/>
          <w:sz w:val="20"/>
          <w:szCs w:val="20"/>
        </w:rPr>
        <w:t xml:space="preserve">Resources: </w:t>
      </w:r>
      <w:r>
        <w:rPr>
          <w:rFonts w:ascii="Arial" w:cs="Arial" w:eastAsia="Arial" w:hAnsi="Arial"/>
          <w:color w:val="1F2937"/>
          <w:sz w:val="20"/>
          <w:szCs w:val="20"/>
        </w:rPr>
        <w:t xml:space="preserve">Session 1 and 2 slides · the project document (eight proposals, bring-your-own checklist) · project_repo_template.zip · Colin Bryar &amp; Bill Carr, Working Backwards (2021), ch. 4 — the press release and FAQ · Google PAIR, People + AI Guidebook, “User Needs + Defining Success” · Moffatt v. Air Canada, 2024 BCCRT 149.</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7280"/>
        <w:sz w:val="16"/>
        <w:szCs w:val="16"/>
      </w:rPr>
      <w:t xml:space="preserve">BleuAI × Albert School  ·  Assignment 1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6B7280"/>
        <w:sz w:val="16"/>
        <w:szCs w:val="16"/>
      </w:rPr>
      <w:t xml:space="preserve">Data &amp; AI Product: From Diagnosis to Delivery  ·  MSA-DAT07-04  ·  Albert School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40" w:hanging="360"/>
      </w:pPr>
      <w:rPr>
        <w:b/>
        <w:bCs/>
        <w:color w:val="035CA0"/>
      </w:rPr>
    </w:lvl>
  </w:abstractNum>
  <w:abstractNum w:abstractNumId="4" w15:restartNumberingAfterBreak="0">
    <w:multiLevelType w:val="hybridMultilevel"/>
    <w:lvl w:ilvl="0" w15:tentative="1">
      <w:start w:val="1"/>
      <w:numFmt w:val="decimal"/>
      <w:lvlText w:val="%1."/>
      <w:lvlJc w:val="left"/>
      <w:pPr>
        <w:ind w:left="440" w:hanging="360"/>
      </w:pPr>
      <w:rPr>
        <w:b/>
        <w:bCs/>
        <w:color w:val="035CA0"/>
      </w:rPr>
    </w:lvl>
  </w:abstractNum>
  <w:abstractNum w:abstractNumId="5" w15:restartNumberingAfterBreak="0">
    <w:multiLevelType w:val="hybridMultilevel"/>
    <w:lvl w:ilvl="0" w15:tentative="1">
      <w:start w:val="1"/>
      <w:numFmt w:val="bullet"/>
      <w:lvlText w:val="☐"/>
      <w:lvlJc w:val="left"/>
      <w:pPr>
        <w:ind w:left="440" w:hanging="340"/>
      </w:pPr>
    </w:lvl>
  </w:abstractNum>
  <w:num w:numId="1">
    <w:abstractNumId w:val="1"/>
    <w:lvlOverride w:ilvl="0">
      <w:startOverride w:val="1"/>
    </w:lvlOverride>
  </w:num>
  <w:num w:numId="2">
    <w:abstractNumId w:val="3"/>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1</dc:title>
  <dc:creator>Cristina Oprean — BleuAI</dc:creator>
  <cp:lastModifiedBy>Un-named</cp:lastModifiedBy>
  <cp:revision>1</cp:revision>
  <dcterms:created xsi:type="dcterms:W3CDTF">2026-10-12T21:26:26.347Z</dcterms:created>
  <dcterms:modified xsi:type="dcterms:W3CDTF">2026-10-12T21:26:26.347Z</dcterms:modified>
</cp:coreProperties>
</file>

<file path=docProps/custom.xml><?xml version="1.0" encoding="utf-8"?>
<Properties xmlns="http://schemas.openxmlformats.org/officeDocument/2006/custom-properties" xmlns:vt="http://schemas.openxmlformats.org/officeDocument/2006/docPropsVTypes"/>
</file>