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Overall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You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did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follow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instructions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in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assignment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: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Organizational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were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needed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but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technological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Improve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your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.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describe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map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them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conceptual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view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Language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Motivations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Assumptions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are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listed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reasonable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Technological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Organizational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described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(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which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was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asked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for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assignment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),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but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tech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table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taken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out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organizational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included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created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out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technological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from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decisions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assumptions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made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General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: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create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separate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for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product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technology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;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'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very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difficult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follow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you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considered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created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separate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for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product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technology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Product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conform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proposed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Hofmeister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: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"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components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"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"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stage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"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attributes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mean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been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converted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follow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standard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proposed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by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Hofmeister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“</w:t>
      </w:r>
      <w:r>
        <w:rPr>
          <w:color w:val="333333"/>
          <w:sz w:val="18"/>
          <w:szCs w:val="18"/>
          <w:shd w:val="solid" w:color="FFFFFF" w:fill="FFFFFF"/>
          <w:rtl w:val="0"/>
        </w:rPr>
        <w:t>component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”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“</w:t>
      </w:r>
      <w:r>
        <w:rPr>
          <w:color w:val="333333"/>
          <w:sz w:val="18"/>
          <w:szCs w:val="18"/>
          <w:shd w:val="solid" w:color="FFFFFF" w:fill="FFFFFF"/>
          <w:rtl w:val="0"/>
        </w:rPr>
        <w:t>stage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” </w:t>
      </w:r>
      <w:r>
        <w:rPr>
          <w:color w:val="333333"/>
          <w:sz w:val="18"/>
          <w:szCs w:val="18"/>
          <w:shd w:val="solid" w:color="FFFFFF" w:fill="FFFFFF"/>
          <w:rtl w:val="0"/>
        </w:rPr>
        <w:t>attributes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were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written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answer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question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Hofmeister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suggested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asking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oneself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when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identifying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creating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color w:val="333333"/>
          <w:sz w:val="18"/>
          <w:szCs w:val="18"/>
          <w:shd w:val="solid" w:color="FFFFFF" w:fill="FFFFFF"/>
          <w:rtl w:val="0"/>
        </w:rPr>
        <w:t>These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answers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color w:val="333333"/>
          <w:sz w:val="18"/>
          <w:szCs w:val="18"/>
          <w:shd w:val="solid" w:color="FFFFFF" w:fill="FFFFFF"/>
          <w:rtl w:val="0"/>
        </w:rPr>
        <w:t>however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color w:val="333333"/>
          <w:sz w:val="18"/>
          <w:szCs w:val="18"/>
          <w:shd w:val="solid" w:color="FFFFFF" w:fill="FFFFFF"/>
          <w:rtl w:val="0"/>
        </w:rPr>
        <w:t>was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commented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never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be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documented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Hofmeisters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suggestions</w:t>
      </w:r>
      <w:r>
        <w:rPr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P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4.1.1-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P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4.1.4: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described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rather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maintainability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availability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been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been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moved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category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Service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since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this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category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hosting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maintenance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according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Hofmeister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model</w:t>
      </w:r>
      <w:r>
        <w:rPr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many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(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except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functional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features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)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identified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looked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over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our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table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relation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Hofmeisters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suggested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categories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identified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new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in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some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categories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where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previously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few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or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no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factors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Strategy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tables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should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explained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only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referenced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book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What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idea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of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strategy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? --&gt;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Hence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clear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whether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address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issue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how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We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have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expanded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explanation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of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tactics</w:t>
      </w:r>
      <w:r>
        <w:rPr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shd w:val="solid" w:color="FFFFFF" w:fill="FFFFFF"/>
          <w:rtl w:val="0"/>
        </w:rPr>
        <w:t>used</w:t>
      </w:r>
      <w:r>
        <w:rPr>
          <w:color w:val="333333"/>
          <w:sz w:val="18"/>
          <w:szCs w:val="18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Most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of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issues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are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relevant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trivial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shd w:val="solid" w:color="FFFFFF" w:fill="FFFFFF"/>
        </w:rPr>
      </w:pPr>
      <w:r>
        <w:rPr>
          <w:color w:val="333333"/>
          <w:sz w:val="18"/>
          <w:szCs w:val="18"/>
          <w:shd w:val="solid" w:color="FFFFFF" w:fill="FFFFFF"/>
          <w:rtl w:val="0"/>
        </w:rPr>
        <w:t>---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Strategy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mapping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conceptual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view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There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mapping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between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designed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components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and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the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proposed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i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.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.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strategies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are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traceable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to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design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decisions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333333"/>
          <w:sz w:val="18"/>
          <w:szCs w:val="18"/>
          <w:shd w:val="solid" w:color="FFFFFF" w:fill="FFFFFF"/>
        </w:rPr>
      </w:pP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Conceptual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view</w:t>
      </w:r>
      <w:r>
        <w:rPr>
          <w:b/>
          <w:bCs/>
          <w:color w:val="333333"/>
          <w:sz w:val="18"/>
          <w:szCs w:val="18"/>
          <w:shd w:val="solid" w:color="FFFFFF" w:fill="FFFFFF"/>
          <w:rtl w:val="0"/>
        </w:rPr>
        <w:t>: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Unclear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components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,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control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flow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clear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u w:val="single"/>
          <w:shd w:val="solid" w:color="FFFFFF" w:fill="FFFFFF"/>
        </w:rPr>
      </w:pP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Updated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the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conceptual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view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i/>
          <w:iCs/>
          <w:color w:val="333333"/>
          <w:sz w:val="18"/>
          <w:szCs w:val="18"/>
          <w:shd w:val="solid" w:color="FFFFFF" w:fill="FFFFFF"/>
        </w:rPr>
      </w:pP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*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Notation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not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 xml:space="preserve"> </w:t>
      </w:r>
      <w:r>
        <w:rPr>
          <w:b/>
          <w:bCs/>
          <w:i/>
          <w:iCs/>
          <w:color w:val="333333"/>
          <w:sz w:val="18"/>
          <w:szCs w:val="18"/>
          <w:shd w:val="solid" w:color="FFFFFF" w:fill="FFFFFF"/>
          <w:rtl w:val="0"/>
        </w:rPr>
        <w:t>followed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333333"/>
          <w:sz w:val="18"/>
          <w:szCs w:val="18"/>
          <w:u w:val="single"/>
          <w:shd w:val="solid" w:color="FFFFFF" w:fill="FFFFFF"/>
        </w:rPr>
      </w:pP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Updated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 xml:space="preserve"> </w:t>
      </w:r>
      <w:r>
        <w:rPr>
          <w:color w:val="333333"/>
          <w:sz w:val="18"/>
          <w:szCs w:val="18"/>
          <w:u w:val="single"/>
          <w:shd w:val="solid" w:color="FFFFFF" w:fill="FFFFFF"/>
          <w:rtl w:val="0"/>
        </w:rPr>
        <w:t>notation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