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(38)</w:t>
      </w:r>
      <w:r>
        <w:rPr/>
        <w:t>，发生率约为</w:t>
      </w:r>
      <w:r>
        <w:rPr/>
        <w:t>7%</w:t>
      </w:r>
      <w:r>
        <w:rPr/>
        <w:t>(39)</w:t>
      </w:r>
      <w:r>
        <w:rPr/>
        <w:t>，</w:t>
      </w:r>
      <w:r>
        <w:rPr/>
        <w:t>6.1%</w:t>
      </w:r>
      <w:r>
        <w:rPr/>
        <w:t>(40)</w:t>
      </w:r>
      <w:r>
        <w:rPr/>
        <w:t>，</w:t>
      </w:r>
      <w:r>
        <w:rPr/>
        <w:t>6.6%</w:t>
      </w:r>
      <w:r>
        <w:rPr/>
        <w:t>(41)</w:t>
      </w:r>
      <w:r>
        <w:rPr/>
        <w:t>，发生率仅占所有骨折的</w:t>
      </w:r>
      <w:r>
        <w:rPr/>
        <w:t>1.98%</w:t>
      </w:r>
      <w:r>
        <w:rPr/>
        <w:t>(42)</w:t>
      </w:r>
      <w:r>
        <w:rPr/>
        <w:t>，下颌升支骨折发生率仅高于髁突骨折</w:t>
      </w:r>
      <w:r>
        <w:rPr/>
        <w:t>[2-4]</w:t>
      </w:r>
      <w:r>
        <w:rPr/>
        <w:t>，属罕见骨折。</w:t>
      </w:r>
    </w:p>
    <w:p>
      <w:pPr>
        <w:pStyle w:val="BodyText"/>
        <w:bidi w:val="0"/>
        <w:rPr/>
      </w:pPr>
      <w:r>
        <w:rPr/>
        <w:t>下颌升支骨折的主要发生原因为</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r>
    </w:p>
    <w:p>
      <w:pPr>
        <w:pStyle w:val="BodyText"/>
        <w:bidi w:val="0"/>
        <w:rPr/>
      </w:pPr>
      <w:r>
        <w:rPr/>
        <w:t>力学是颌面部骨折发生、治疗及影响预后的重要因素，骨折的发生位置和严重程度是受到了不同方向及类型的力所导致的，其致伤机制与力学的作用密不可分（</w:t>
      </w:r>
      <w:r>
        <w:rPr/>
        <w:t>26</w:t>
      </w:r>
      <w:r>
        <w:rPr/>
        <w:t>），而在使用坚强内固定的方式治疗下颌骨的过程中，不仅需要考虑患者的一般情况，手术方式及术后愈合相关的临床问题，还需考虑颌面部的力学特征，选择微钛版的类型及固定的位置，骨折固定后的稳定性至关重要，如果骨折固定后在行使咬合功能时，两骨折块之间发生了严重位移，则会骨折愈合造成严重影响， </w:t>
      </w:r>
      <w:r>
        <w:rPr>
          <w:rStyle w:val="Emphasis"/>
        </w:rPr>
        <w:t>具体受到什么影响引用</w:t>
      </w:r>
    </w:p>
    <w:p>
      <w:pPr>
        <w:pStyle w:val="BodyText"/>
        <w:bidi w:val="0"/>
        <w:rPr/>
      </w:pPr>
      <w:r>
        <w:rPr>
          <w:rStyle w:val="Emphasis"/>
          <w:i w:val="false"/>
          <w:iCs w:val="false"/>
        </w:rPr>
        <w:t>交叉学科法是重要的医学研究方法，通过使用其他领域优秀的研究方法来研究本学科自身难以解决的问题，如近年来多使用计算机科学中的人工智能技术来建立可辅助诊断的模型（</w:t>
      </w:r>
      <w:r>
        <w:rPr>
          <w:rStyle w:val="Emphasis"/>
          <w:i w:val="false"/>
          <w:iCs w:val="false"/>
        </w:rPr>
        <w:t>35</w:t>
      </w:r>
      <w:r>
        <w:rPr>
          <w:rStyle w:val="Emphasis"/>
          <w:i w:val="false"/>
          <w:iCs w:val="false"/>
        </w:rPr>
        <w:t>），使用材料学的方法来对口腔领域所使用的材料性能进行研究（引用）</w:t>
      </w:r>
      <w:r>
        <w:rPr>
          <w:rStyle w:val="Emphasis"/>
        </w:rPr>
        <w:t>。</w:t>
      </w:r>
    </w:p>
    <w:p>
      <w:pPr>
        <w:pStyle w:val="BodyText"/>
        <w:bidi w:val="0"/>
        <w:rPr/>
      </w:pPr>
      <w:r>
        <w:rPr/>
        <w:t>通过引用力学学的研究方法，可有效的对发生的机制（</w:t>
      </w:r>
      <w:r>
        <w:rPr/>
        <w:t>26</w:t>
      </w:r>
      <w:r>
        <w:rPr/>
        <w:t>），骨折的预后进行分析（引用），对骨折固定后影响有多种研究方式，如使用体外模型，使用临床资料，观察预后，或者有限元分析法（引用）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实验设备</w:t>
      </w:r>
      <w:r>
        <w:rPr/>
        <w:t>：</w:t>
      </w:r>
    </w:p>
    <w:p>
      <w:pPr>
        <w:pStyle w:val="BodyText"/>
        <w:bidi w:val="0"/>
        <w:rPr/>
      </w:pPr>
      <w:r>
        <w:rPr/>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命令将牙冠与下颌骨分离开，因为有限元分析中需要各个接触面紧密接触</w:t>
      </w:r>
      <w:r>
        <w:rPr/>
        <w:t>，故先不提取牙槽窝，而是通过后续使用布尔运算的方式建立牙槽窝的解剖形态</w:t>
      </w:r>
      <w:r>
        <w:rPr/>
        <w:t>。</w:t>
      </w:r>
      <w:r>
        <w:rPr/>
        <w:t>因为此步骤分离出的三维模型仅仅是通过将不同断面的</w:t>
      </w:r>
      <w:r>
        <w:rPr/>
        <w:t>CBCT</w:t>
      </w:r>
      <w:r>
        <w:rPr/>
        <w:t>拼接而成的，无法进入到其他工学软件中做进一部处理，故</w:t>
      </w:r>
      <w:r>
        <w:rPr/>
        <w:t>分别对无牙冠下颌骨及分离后的牙冠转化为壳体，执行“</w:t>
      </w:r>
      <w:r>
        <w:rPr/>
        <w:t>Calculate Part”</w:t>
      </w:r>
      <w:r>
        <w:rPr/>
        <w:t>命令，将两部分模型转化为</w:t>
      </w:r>
      <w:r>
        <w:rPr/>
        <w:t>.stl</w:t>
      </w:r>
      <w:r>
        <w:rPr/>
        <w:t>格式文件并存档</w:t>
      </w:r>
      <w:r>
        <w:rPr/>
        <w:t>，</w:t>
      </w:r>
      <w:r>
        <w:rPr/>
        <w:t>.stl</w:t>
      </w:r>
      <w:r>
        <w:rPr/>
        <w:t>是三维模型的标准格式，可以在各个软件中通用，以便于后续操作。</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功能，执行“</w:t>
      </w:r>
      <w:r>
        <w:rPr/>
        <w:t>Select Tooth”</w:t>
      </w:r>
      <w:r>
        <w:rPr/>
        <w:t>命令自动选中牙列分割全牙列牙齿（图）。最后将完整牙齿模型以</w:t>
      </w:r>
      <w:r>
        <w:rPr/>
        <w:t>.stl</w:t>
      </w:r>
      <w:r>
        <w:rPr/>
        <w:t>格式导出</w:t>
      </w:r>
      <w:r>
        <w:rPr/>
        <w:t>，若使用</w:t>
      </w:r>
      <w:r>
        <w:rPr/>
        <w:t>M</w:t>
      </w:r>
      <w:r>
        <w:rPr/>
        <w:t>imics</w:t>
      </w:r>
      <w:r>
        <w:rPr/>
        <w:t>分离牙齿，由于分辨率及多种原因，会导致牙根结构不清晰，分离不完整，只能通过后续处理，如分割，光滑操作，影响建模效率的同时，还无法还原真实的解剖结构</w:t>
      </w:r>
      <w:r>
        <w:rPr/>
        <w:t>。而使用</w:t>
      </w:r>
      <w:r>
        <w:rPr/>
        <w:t>BlueSkyBioPlan</w:t>
      </w:r>
      <w:r>
        <w:rPr/>
        <w:t>可以快速准确的分割牙齿</w:t>
      </w:r>
      <w:r>
        <w:rPr/>
        <w:t>，模型的光滑程度优于前者，并且无需过多后处理，可直接转化为</w:t>
      </w:r>
      <w:r>
        <w:rPr/>
        <w:t>.stl</w:t>
      </w:r>
      <w:r>
        <w:rPr/>
        <w:t>格式并输出至下一步骤使用。</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，比利时）软件中（图），由于使用</w:t>
      </w:r>
      <w:r>
        <w:rPr/>
        <w:t>了不同软件，其原始坐标不相同，导致牙列并不位于下颌骨之上，</w:t>
      </w:r>
      <w:r>
        <w:rPr/>
        <w:t>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功能可自动检查模型是否存在问题（图），如果存在上述问题</w:t>
      </w:r>
      <w:r>
        <w:rPr/>
        <w:t>，在建模将无法完成，</w:t>
      </w:r>
      <w:r>
        <w:rPr/>
        <w:t>执行“</w:t>
      </w:r>
      <w:r>
        <w:rPr/>
        <w:t>Follow advicd”</w:t>
      </w:r>
      <w:r>
        <w:rPr/>
        <w:t>可自动对模型进行修复。同时可使用“</w:t>
      </w:r>
      <w:r>
        <w:rPr/>
        <w:t>Remesh”</w:t>
      </w:r>
      <w:r>
        <w:rPr/>
        <w:t>模块中的“</w:t>
      </w:r>
      <w:r>
        <w:rPr/>
        <w:t>Adaptive”</w:t>
      </w:r>
      <w:r>
        <w:rPr/>
        <w:t>命令重画网格，使模型更加光滑，并减少尖锐的边角，对网格进行统一化处理有助于有限元分析时的模型转换</w:t>
      </w:r>
      <w:r>
        <w:rPr/>
        <w:t>，</w:t>
      </w:r>
      <w:r>
        <w:rPr/>
        <w:t>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。因为在临床中所使用</w:t>
      </w:r>
      <w:r>
        <w:rPr/>
        <w:t>的微钛板会先进行预弯，在放置于骨面上，由于骨面曲度较大，并不是规则的几何体，传统的</w:t>
      </w:r>
      <w:r>
        <w:rPr/>
        <w:t>CAD</w:t>
      </w:r>
      <w:r>
        <w:rPr/>
        <w:t>软件难以直接</w:t>
      </w:r>
      <w:r>
        <w:rPr/>
        <w:t>沿不规则骨面建立微钛板模型</w:t>
      </w:r>
      <w:r>
        <w:rPr/>
        <w:t>，故先</w:t>
      </w:r>
      <w:r>
        <w:rPr/>
        <w:t>与下颌升支水平的方向建立一个平面，并使用“</w:t>
      </w:r>
      <w:r>
        <w:rPr/>
        <w:t>Sketch Mode”</w:t>
      </w:r>
      <w:r>
        <w:rPr/>
        <w:t>平面转化为草图，在草图上绘制微钛板模型的二维草图（图），将骨折线投影到草图上作为参考线</w:t>
      </w:r>
      <w:r>
        <w:rPr/>
        <w:t>，微钛板设计为与骨折线垂直的方向</w:t>
      </w:r>
      <w:r>
        <w:rPr/>
        <w:t>，建立一侧草图后通过镜像的方式生成另一半草图，</w:t>
      </w:r>
      <w:r>
        <w:rPr/>
        <w:t>运行 “</w:t>
      </w:r>
      <w:r>
        <w:rPr/>
        <w:t>Fill”</w:t>
      </w:r>
      <w:r>
        <w:rPr/>
        <w:t>命令将草图投影到骨面上，此投影是根据草图的尺寸控制贴合于不规则骨面的线条</w:t>
      </w:r>
      <w:r>
        <w:rPr/>
        <w:t>，</w:t>
      </w:r>
      <w:r>
        <w:rPr/>
        <w:t>复制投影面为独立</w:t>
      </w:r>
      <w:r>
        <w:rPr/>
        <w:t>的面片，将其他模型隐藏，只面片，可见此面片由多个小面组成，并不是完整的独立面，</w:t>
      </w:r>
      <w:r>
        <w:rPr/>
        <w:t>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既往研究的基础上填补了此领域的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Lutz</w:t>
      </w:r>
      <w:r>
        <w:rPr/>
        <w:t>（</w:t>
      </w:r>
      <w:r>
        <w:rPr/>
        <w:t>28</w:t>
      </w:r>
      <w:r>
        <w:rPr/>
        <w:t>）使用羊的跖骨横行截骨术模拟简单的骨干骨折，并通过可调节的外固定器来控制间隙大小和轴向骨折间隙运动。在其实验中选用了</w:t>
      </w:r>
      <w:r>
        <w:rPr/>
        <w:t>42</w:t>
      </w:r>
      <w:r>
        <w:rPr/>
        <w:t>只骨骼发育成熟的公羊，设置不同的骨折状态，在</w:t>
      </w:r>
      <w:r>
        <w:rPr/>
        <w:t>9</w:t>
      </w:r>
      <w:r>
        <w:rPr/>
        <w:t>周后对愈合状态进行评估，其中有以一部分研究使用线性可变位移传感器来监测骨折间隙的运动，即检测相对位移，在观察组</w:t>
      </w:r>
      <w:r>
        <w:rPr/>
        <w:t>A</w:t>
      </w:r>
      <w:r>
        <w:rPr/>
        <w:t>中，位于第四周时，出现了最大相对位移为</w:t>
      </w:r>
      <w:r>
        <w:rPr/>
        <w:t>0.15mm</w:t>
      </w:r>
      <w:r>
        <w:rPr/>
        <w:t>，而在所有观察组中，只有</w:t>
      </w:r>
      <w:r>
        <w:rPr/>
        <w:t>A</w:t>
      </w:r>
      <w:r>
        <w:rPr/>
        <w:t>组在</w:t>
      </w:r>
      <w:r>
        <w:rPr/>
        <w:t>9</w:t>
      </w:r>
      <w:r>
        <w:rPr/>
        <w:t>周后完成了</w:t>
      </w:r>
      <w:r>
        <w:rPr/>
        <w:t>1</w:t>
      </w:r>
      <w:r>
        <w:rPr/>
        <w:t>期愈合，其他组均为达到一期愈合的效果，故可以认为，相对位移小于</w:t>
      </w:r>
      <w:r>
        <w:rPr/>
        <w:t>0.15mm</w:t>
      </w:r>
      <w:r>
        <w:rPr/>
        <w:t>时，骨折可以完成一期愈合。在其他面部骨折的有限元文献中，均使用了此标准作为是否能够一期愈合的标准。（文献引用）具体文献要参考</w:t>
      </w:r>
    </w:p>
    <w:p>
      <w:pPr>
        <w:pStyle w:val="BodyText"/>
        <w:bidi w:val="0"/>
        <w:rPr/>
      </w:pPr>
      <w:r>
        <w:rPr/>
        <w:t>本研究的实验结果表明，在两微钛板间距逐渐减少时，最大相对位移距离也逐渐减少，在两微钛板之间的间距为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目前对下颌升支骨折手术入路选择的研究较少，入路方式尚未明确，因需固定乙状切迹处，乙状切迹位置较高，邻近髁突位置，故可将髁突骨折的手术入路方法引用到下颌升支骨折中来。</w:t>
      </w:r>
    </w:p>
    <w:p>
      <w:pPr>
        <w:pStyle w:val="BodyText"/>
        <w:bidi w:val="0"/>
        <w:rPr>
          <w:color w:val="C9211E"/>
        </w:rPr>
      </w:pPr>
      <w:r>
        <w:rPr>
          <w:color w:val="C9211E"/>
        </w:rPr>
      </w:r>
    </w:p>
    <w:p>
      <w:pPr>
        <w:pStyle w:val="BodyText"/>
        <w:bidi w:val="0"/>
        <w:rPr>
          <w:color w:val="C9211E"/>
        </w:rPr>
      </w:pPr>
      <w:r>
        <w:rPr/>
      </w:r>
    </w:p>
    <w:p>
      <w:pPr>
        <w:pStyle w:val="BodyText"/>
        <w:bidi w:val="0"/>
        <w:rPr>
          <w:color w:val="C9211E"/>
        </w:rPr>
      </w:pPr>
      <w:r>
        <w:rPr>
          <w:color w:val="C9211E"/>
        </w:rPr>
      </w:r>
    </w:p>
    <w:p>
      <w:pPr>
        <w:pStyle w:val="BodyText"/>
        <w:bidi w:val="0"/>
        <w:rPr/>
      </w:pPr>
      <w:r>
        <w:rPr/>
        <w:t>下颌升支骨折的治疗中，可以选择多种手术入路，如下</w:t>
      </w:r>
      <w:r>
        <w:rPr/>
        <w:t>Risdon</w:t>
      </w:r>
      <w:r>
        <w:rPr/>
        <w:t>入路，下颌后入路（英文）</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Risdom</w:t>
      </w:r>
      <w:r>
        <w:rPr/>
        <w:t>入路的并发症发生率远低于下颌后入路，在临床中从并发症控制的角度选择</w:t>
      </w:r>
      <w:r>
        <w:rPr/>
        <w:t>Risom</w:t>
      </w:r>
      <w:r>
        <w:rPr/>
        <w:t>具有明显优势。</w:t>
      </w:r>
    </w:p>
    <w:p>
      <w:pPr>
        <w:pStyle w:val="BodyText"/>
        <w:bidi w:val="0"/>
        <w:rPr/>
      </w:pPr>
      <w:r>
        <w:rPr/>
        <w:t>操作难度及手术流程时候简单同样是着重需要考虑的因素</w:t>
      </w:r>
      <w:r>
        <w:rPr/>
        <w:t>，</w:t>
      </w:r>
      <w:r>
        <w:rPr/>
        <w:t xml:space="preserve">下颌骨中位入路包括下颌后入路。与低位入路相比，这种入路可以更好地暴露下颌髁状突。然而，为了避免可能的面神经损伤，这种入路需要识别颊神经和下颌缘支。尽管仔细识别了面神经，但这种方法需要牵拉腮腺，这可能导致面神经损伤。下颌骨的一种低位入路是 </w:t>
      </w:r>
      <w:r>
        <w:rPr/>
        <w:t xml:space="preserve">Risdon </w:t>
      </w:r>
      <w:r>
        <w:rPr/>
        <w:t xml:space="preserve">入路。从下颌缘支下方的切口入路是 </w:t>
      </w:r>
      <w:r>
        <w:rPr/>
        <w:t xml:space="preserve">Risdon </w:t>
      </w:r>
      <w:r>
        <w:rPr/>
        <w:t>入路的最关键点。下颌缘支容易识别，无需太多解剖，如果包括神经提升皮瓣，则没有面神经损伤的风险。在腮腺后、下颌下腺高位或颞下颌关节周围入路中，它们彼此相似，在颊神经和下颌缘支之间进行解剖可能对经验不足的人来说很困难，尽管作者进行的解剖研究表明没有神经损伤的风险。</w:t>
      </w:r>
      <w:r>
        <w:rPr/>
        <w:t xml:space="preserve">Risdon </w:t>
      </w:r>
      <w:r>
        <w:rPr/>
        <w:t xml:space="preserve">入路易于学习和操作，几乎不需要学习曲线。下颌缘支的识别非常简单，并且有方法在不识别面神经的情况下提升皮肤肌肉瓣。然而，众所周知，这种入路允许较少地暴露下颌骨升支和髁状突，大多数外科医生都会同意这种入路不足以暴露髁状突骨折。然而，根据我们的经验，通过充分分离附着于下颌骨升支后缘的咬肌，可以通过 </w:t>
      </w:r>
      <w:r>
        <w:rPr/>
        <w:t xml:space="preserve">Risdon </w:t>
      </w:r>
      <w:r>
        <w:rPr/>
        <w:t xml:space="preserve">入路直接观察、复位和固定所有下颌骨髁状突下骨折（图 </w:t>
      </w:r>
      <w:r>
        <w:rPr/>
        <w:t>9</w:t>
      </w: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r>
    </w:p>
    <w:p>
      <w:pPr>
        <w:pStyle w:val="BodyText"/>
        <w:bidi w:val="0"/>
        <w:rPr/>
      </w:pPr>
      <w:r>
        <w:rPr/>
        <w:t>除考虑并发症因素外，暴露视野问题同样应该予以考虑，无论是从感染角度，还是从临床操作便捷性上来讲，都是</w:t>
      </w:r>
      <w:r>
        <w:rPr/>
        <w:t>r</w:t>
      </w:r>
      <w:r>
        <w:rPr/>
        <w:t>好，但是</w:t>
      </w:r>
      <w:r>
        <w:rPr/>
        <w:t>r</w:t>
      </w:r>
      <w:r>
        <w:rPr/>
        <w:t>也存在一定缺点。因为</w:t>
      </w:r>
      <w:r>
        <w:rPr/>
        <w:t>r</w:t>
      </w:r>
      <w:r>
        <w:rPr/>
        <w:t>属于地位入路，会出现暴露范围不足的问题，因为如果暴露效果不良，会导致术中无法直视术区，固定困难等问题。</w:t>
      </w:r>
    </w:p>
    <w:p>
      <w:pPr>
        <w:pStyle w:val="BodyText"/>
        <w:bidi w:val="0"/>
        <w:rPr/>
      </w:pPr>
      <w:r>
        <w:rPr/>
      </w:r>
    </w:p>
    <w:p>
      <w:pPr>
        <w:pStyle w:val="BodyText"/>
        <w:bidi w:val="0"/>
        <w:rPr/>
      </w:pPr>
      <w:r>
        <w:rPr/>
        <w:t>Robin</w:t>
      </w:r>
      <w:r>
        <w:rPr/>
        <w:t>通过标本解剖对比的方式对改良</w:t>
      </w:r>
      <w:r>
        <w:rPr/>
        <w:t>Risdon</w:t>
      </w:r>
      <w:r>
        <w:rPr/>
        <w:t>入路和入路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入路，则对暴露髁突基底部位置效果较好，并对并发症发生率的控制效果较好。由此可见，在使用</w:t>
      </w:r>
      <w:r>
        <w:rPr/>
        <w:t>Risdom</w:t>
      </w:r>
      <w:r>
        <w:rPr/>
        <w:t>入路时，虽然对髁突高位暴露效果较差，但是对髁突基底部暴露效果较好，在解剖位置的角度来讲，同样对乙状切迹下位置的暴露效果同样较好。</w:t>
      </w:r>
    </w:p>
    <w:p>
      <w:pPr>
        <w:pStyle w:val="BodyText"/>
        <w:bidi w:val="0"/>
        <w:rPr/>
      </w:pPr>
      <w:r>
        <w:rPr/>
        <w:t>若想在临床中，获得最大的术后稳定性，根据实验数据，在下颌升支骨折中，需尽量提升两微钛板的距离，在邻近乙状切迹处做固定。</w:t>
      </w:r>
    </w:p>
    <w:p>
      <w:pPr>
        <w:pStyle w:val="BodyText"/>
        <w:bidi w:val="0"/>
        <w:rPr/>
      </w:pPr>
      <w:r>
        <w:rPr/>
        <w:t>在下颌升支骨折中，可能会因为为暴露乙状切迹处而加大切口范围，在既往研究中，</w:t>
      </w:r>
      <w:r>
        <w:rPr/>
        <w:t>**</w:t>
      </w:r>
      <w:r>
        <w:rPr/>
        <w:t>使用了下颌后入路，本研究的结果表明，在两微钛板间距为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color w:val="C9211E"/>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color w:val="auto"/>
        </w:rPr>
        <w:t>35.Preinterventional Third-Molar Assessment Using Robust Machine Learning</w:t>
      </w:r>
    </w:p>
    <w:p>
      <w:pPr>
        <w:pStyle w:val="BodyText"/>
        <w:bidi w:val="0"/>
        <w:rPr/>
      </w:pPr>
      <w:r>
        <w:rPr/>
        <w:t>36.</w:t>
      </w:r>
      <w:r>
        <w:rPr/>
        <w:t>下颌骨颏部骨折联合双侧髁突囊内骨折致伤机制的三维有限元分析</w:t>
      </w:r>
    </w:p>
    <w:p>
      <w:pPr>
        <w:pStyle w:val="BodyText"/>
        <w:bidi w:val="0"/>
        <w:rPr/>
      </w:pPr>
      <w:r>
        <w:rPr/>
        <w:t>37.</w:t>
      </w:r>
      <w:r>
        <w:rPr>
          <w:color w:val="auto"/>
        </w:rPr>
        <w:t>HSMAAnalysis of the High Submandibular Approach: A Critical Reappraisal of a Transfacial Access to the Mandibular Skeleton</w:t>
      </w:r>
    </w:p>
    <w:p>
      <w:pPr>
        <w:pStyle w:val="BodyText"/>
        <w:bidi w:val="0"/>
        <w:rPr/>
      </w:pPr>
      <w:r>
        <w:rPr>
          <w:color w:val="auto"/>
        </w:rPr>
        <w:t>38.Patterns Associated with Adult Mandibular Fractures</w:t>
      </w:r>
    </w:p>
    <w:p>
      <w:pPr>
        <w:pStyle w:val="BodyText"/>
        <w:bidi w:val="0"/>
        <w:rPr/>
      </w:pPr>
      <w:r>
        <w:rPr>
          <w:color w:val="auto"/>
        </w:rPr>
        <w:t>in Southern Taiwan—A Cross-Sectional</w:t>
      </w:r>
    </w:p>
    <w:p>
      <w:pPr>
        <w:pStyle w:val="BodyText"/>
        <w:bidi w:val="0"/>
        <w:rPr/>
      </w:pPr>
      <w:r>
        <w:rPr>
          <w:color w:val="auto"/>
        </w:rPr>
        <w:t>Retrospective Study</w:t>
      </w:r>
    </w:p>
    <w:p>
      <w:pPr>
        <w:pStyle w:val="BodyText"/>
        <w:bidi w:val="0"/>
        <w:rPr/>
      </w:pPr>
      <w:r>
        <w:rPr/>
        <w:t>39.Current Frequency of Mandibular Condylar Process Fractures</w:t>
      </w:r>
    </w:p>
    <w:p>
      <w:pPr>
        <w:pStyle w:val="BodyText"/>
        <w:bidi w:val="0"/>
        <w:rPr/>
      </w:pPr>
      <w:r>
        <w:rPr/>
        <w:t>40.Mandibular fracture: analysis of</w:t>
      </w:r>
    </w:p>
    <w:p>
      <w:pPr>
        <w:pStyle w:val="BodyText"/>
        <w:bidi w:val="0"/>
        <w:rPr/>
      </w:pPr>
      <w:r>
        <w:rPr/>
        <w:t>293 patients treated in the</w:t>
      </w:r>
    </w:p>
    <w:p>
      <w:pPr>
        <w:pStyle w:val="BodyText"/>
        <w:bidi w:val="0"/>
        <w:rPr/>
      </w:pPr>
      <w:r>
        <w:rPr/>
        <w:t>Hospital of Clinics, Federal</w:t>
      </w:r>
    </w:p>
    <w:p>
      <w:pPr>
        <w:pStyle w:val="BodyText"/>
        <w:bidi w:val="0"/>
        <w:rPr/>
      </w:pPr>
      <w:r>
        <w:rPr/>
        <w:t>University of Uberlândia</w:t>
      </w:r>
    </w:p>
    <w:p>
      <w:pPr>
        <w:pStyle w:val="BodyText"/>
        <w:bidi w:val="0"/>
        <w:rPr/>
      </w:pPr>
      <w:r>
        <w:rPr/>
        <w:t>41.Mandibular fracture: analysis of</w:t>
      </w:r>
    </w:p>
    <w:p>
      <w:pPr>
        <w:pStyle w:val="BodyText"/>
        <w:bidi w:val="0"/>
        <w:rPr/>
      </w:pPr>
      <w:r>
        <w:rPr/>
        <w:t>293 patients treated in the</w:t>
      </w:r>
    </w:p>
    <w:p>
      <w:pPr>
        <w:pStyle w:val="BodyText"/>
        <w:bidi w:val="0"/>
        <w:rPr/>
      </w:pPr>
      <w:r>
        <w:rPr/>
        <w:t>Hospital of Clinics, Federal</w:t>
      </w:r>
    </w:p>
    <w:p>
      <w:pPr>
        <w:pStyle w:val="BodyText"/>
        <w:bidi w:val="0"/>
        <w:rPr/>
      </w:pPr>
      <w:r>
        <w:rPr/>
        <w:t>University of Uberlândia</w:t>
      </w:r>
    </w:p>
    <w:p>
      <w:pPr>
        <w:pStyle w:val="BodyText"/>
        <w:bidi w:val="0"/>
        <w:rPr/>
      </w:pPr>
      <w:r>
        <w:rPr/>
        <w:t>42.A study of mandibular fractures over a 5-year period of time: A retrospective</w:t>
      </w:r>
    </w:p>
    <w:p>
      <w:pPr>
        <w:pStyle w:val="BodyText"/>
        <w:bidi w:val="0"/>
        <w:rPr/>
      </w:pPr>
      <w:r>
        <w:rPr/>
        <w:t>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paragraph" w:styleId="Heading1">
    <w:name w:val="heading 1"/>
    <w:basedOn w:val="Style14"/>
    <w:next w:val="BodyText"/>
    <w:qFormat/>
    <w:pPr>
      <w:spacing w:before="240" w:after="120"/>
      <w:outlineLvl w:val="0"/>
    </w:pPr>
    <w:rPr>
      <w:rFonts w:ascii="Liberation Serif" w:hAnsi="Liberation Serif" w:eastAsia="Noto Serif CJK SC" w:cs="Noto Sans CJK SC"/>
      <w:b/>
      <w:bCs/>
      <w:sz w:val="48"/>
      <w:szCs w:val="48"/>
    </w:rPr>
  </w:style>
  <w:style w:type="character" w:styleId="Emphasis">
    <w:name w:val="Emphasis"/>
    <w:qFormat/>
    <w:rPr>
      <w:i/>
      <w:iCs/>
    </w:rPr>
  </w:style>
  <w:style w:type="character" w:styleId="Strong">
    <w:name w:val="Strong"/>
    <w:qFormat/>
    <w:rPr>
      <w:b/>
      <w:bCs/>
    </w:rPr>
  </w:style>
  <w:style w:type="character" w:styleId="Style13">
    <w:name w:val="项目符号"/>
    <w:qFormat/>
    <w:rPr>
      <w:rFonts w:ascii="OpenSymbol" w:hAnsi="OpenSymbol" w:eastAsia="OpenSymbol" w:cs="OpenSymbol"/>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391</TotalTime>
  <Application>LibreOffice/24.8.3.2$Linux_X86_64 LibreOffice_project/e14c9fdd1f585efcbb2c5363087a99d20928d522</Application>
  <AppVersion>15.0000</AppVersion>
  <Pages>14</Pages>
  <Words>9851</Words>
  <Characters>16594</Characters>
  <CharactersWithSpaces>16990</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2025-01-25T01:19:23Z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