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bidi w:val="0"/>
        <w:spacing w:before="0" w:after="240"/>
        <w:ind w:hanging="0" w:left="0" w:right="0"/>
        <w:jc w:val="left"/>
        <w:rPr/>
      </w:pPr>
      <w:r>
        <w:rPr>
          <w:rStyle w:val="Emphasis"/>
          <w:rFonts w:ascii="宋体" w:hAnsi="宋体" w:eastAsia="宋体"/>
          <w:b w:val="false"/>
          <w:i w:val="false"/>
          <w:caps w:val="false"/>
          <w:smallCaps w:val="false"/>
          <w:color w:val="CBC6C0"/>
          <w:spacing w:val="0"/>
          <w:sz w:val="24"/>
        </w:rPr>
        <w:t>微钛板间距对下颌升支骨折固定术稳定性影响的有限元分析</w:t>
      </w:r>
      <w:r>
        <w:rPr>
          <w:rFonts w:eastAsia="宋体" w:ascii="宋体" w:hAnsi="宋体"/>
          <w:b w:val="false"/>
          <w:i w:val="false"/>
          <w:caps w:val="false"/>
          <w:smallCaps w:val="false"/>
          <w:color w:val="CBC6C0"/>
          <w:spacing w:val="0"/>
          <w:sz w:val="24"/>
        </w:rPr>
        <w:t>*</w:t>
      </w:r>
    </w:p>
    <w:p>
      <w:pPr>
        <w:pStyle w:val="BodyText"/>
        <w:widowControl/>
        <w:bidi w:val="0"/>
        <w:spacing w:before="0" w:after="240"/>
        <w:ind w:hanging="0" w:left="0" w:right="0"/>
        <w:jc w:val="left"/>
        <w:rPr>
          <w:rFonts w:ascii="宋体" w:hAnsi="宋体" w:eastAsia="宋体"/>
        </w:rPr>
      </w:pPr>
      <w:r>
        <w:rPr>
          <w:rFonts w:eastAsia="宋体" w:ascii="宋体" w:hAnsi="宋体"/>
          <w:b w:val="false"/>
          <w:i w:val="false"/>
          <w:caps w:val="false"/>
          <w:smallCaps w:val="false"/>
          <w:color w:val="CBC6C0"/>
          <w:spacing w:val="0"/>
          <w:sz w:val="24"/>
        </w:rPr>
        <w:t>Mandibular ramus</w:t>
      </w:r>
    </w:p>
    <w:p>
      <w:pPr>
        <w:pStyle w:val="BodyText"/>
        <w:widowControl/>
        <w:bidi w:val="0"/>
        <w:spacing w:before="0" w:after="240"/>
        <w:ind w:hanging="0" w:left="0" w:right="0"/>
        <w:jc w:val="left"/>
        <w:rPr/>
      </w:pPr>
      <w:r>
        <w:rPr>
          <w:rStyle w:val="Strong"/>
          <w:rFonts w:ascii="宋体" w:hAnsi="宋体" w:eastAsia="宋体"/>
          <w:b w:val="false"/>
          <w:i w:val="false"/>
          <w:caps w:val="false"/>
          <w:smallCaps w:val="false"/>
          <w:color w:val="CBC6C0"/>
          <w:spacing w:val="0"/>
          <w:sz w:val="24"/>
        </w:rPr>
        <w:t>目的</w:t>
      </w:r>
      <w:r>
        <w:rPr>
          <w:rFonts w:ascii="宋体" w:hAnsi="宋体" w:eastAsia="宋体"/>
          <w:b w:val="false"/>
          <w:i w:val="false"/>
          <w:caps w:val="false"/>
          <w:smallCaps w:val="false"/>
          <w:color w:val="CBC6C0"/>
          <w:spacing w:val="0"/>
          <w:sz w:val="24"/>
        </w:rPr>
        <w:t>：采用有限元分析方法研究使用双微钛板对下颌升支骨折固定时，不同微钛板间距设计在术后行使咬合功能时的骨折块相对位移情况，为临床设计两微钛板之间距离提供理论依据。</w:t>
      </w:r>
    </w:p>
    <w:p>
      <w:pPr>
        <w:pStyle w:val="BodyText"/>
        <w:widowControl/>
        <w:bidi w:val="0"/>
        <w:spacing w:before="0" w:after="240"/>
        <w:ind w:hanging="0" w:left="0" w:right="0"/>
        <w:jc w:val="left"/>
        <w:rPr/>
      </w:pPr>
      <w:r>
        <w:rPr>
          <w:rStyle w:val="Strong"/>
          <w:rFonts w:ascii="宋体" w:hAnsi="宋体" w:eastAsia="宋体"/>
          <w:b w:val="false"/>
          <w:i w:val="false"/>
          <w:caps w:val="false"/>
          <w:smallCaps w:val="false"/>
          <w:color w:val="CBC6C0"/>
          <w:spacing w:val="0"/>
          <w:sz w:val="24"/>
        </w:rPr>
        <w:t>方法</w:t>
      </w:r>
      <w:r>
        <w:rPr>
          <w:rFonts w:ascii="宋体" w:hAnsi="宋体" w:eastAsia="宋体"/>
          <w:b w:val="false"/>
          <w:i w:val="false"/>
          <w:caps w:val="false"/>
          <w:smallCaps w:val="false"/>
          <w:color w:val="CBC6C0"/>
          <w:spacing w:val="0"/>
          <w:sz w:val="24"/>
        </w:rPr>
        <w:t>：分别建立下颌骨，牙齿，牙周膜，微钛板（强生，厚度</w:t>
      </w:r>
      <w:r>
        <w:rPr>
          <w:rFonts w:eastAsia="宋体" w:ascii="宋体" w:hAnsi="宋体"/>
          <w:b w:val="false"/>
          <w:i w:val="false"/>
          <w:caps w:val="false"/>
          <w:smallCaps w:val="false"/>
          <w:color w:val="CBC6C0"/>
          <w:spacing w:val="0"/>
          <w:sz w:val="24"/>
        </w:rPr>
        <w:t>1mm</w:t>
      </w:r>
      <w:r>
        <w:rPr>
          <w:rFonts w:ascii="宋体" w:hAnsi="宋体" w:eastAsia="宋体"/>
          <w:b w:val="false"/>
          <w:i w:val="false"/>
          <w:caps w:val="false"/>
          <w:smallCaps w:val="false"/>
          <w:color w:val="CBC6C0"/>
          <w:spacing w:val="0"/>
          <w:sz w:val="24"/>
        </w:rPr>
        <w:t>）有限元模型。于下颌升支上设置由乙状切迹至下颌角的骨折线，即下颌升支Ⅰ型骨折线。实验通过设计两微钛板的间距分为</w:t>
      </w:r>
      <w:r>
        <w:rPr>
          <w:rFonts w:eastAsia="宋体" w:ascii="宋体" w:hAnsi="宋体"/>
          <w:b w:val="false"/>
          <w:i w:val="false"/>
          <w:caps w:val="false"/>
          <w:smallCaps w:val="false"/>
          <w:color w:val="CBC6C0"/>
          <w:spacing w:val="0"/>
          <w:sz w:val="24"/>
        </w:rPr>
        <w:t>22</w:t>
      </w:r>
      <w:r>
        <w:rPr>
          <w:rFonts w:ascii="宋体" w:hAnsi="宋体" w:eastAsia="宋体"/>
          <w:b w:val="false"/>
          <w:i w:val="false"/>
          <w:caps w:val="false"/>
          <w:smallCaps w:val="false"/>
          <w:color w:val="CBC6C0"/>
          <w:spacing w:val="0"/>
          <w:sz w:val="24"/>
        </w:rPr>
        <w:t>组，</w:t>
      </w:r>
      <w:r>
        <w:rPr>
          <w:rFonts w:eastAsia="宋体" w:ascii="宋体" w:hAnsi="宋体"/>
          <w:b w:val="false"/>
          <w:i w:val="false"/>
          <w:caps w:val="false"/>
          <w:smallCaps w:val="false"/>
          <w:color w:val="CBC6C0"/>
          <w:spacing w:val="0"/>
          <w:sz w:val="24"/>
        </w:rPr>
        <w:t>2mm</w:t>
      </w:r>
      <w:r>
        <w:rPr>
          <w:rFonts w:ascii="宋体" w:hAnsi="宋体" w:eastAsia="宋体"/>
          <w:b w:val="false"/>
          <w:i w:val="false"/>
          <w:caps w:val="false"/>
          <w:smallCaps w:val="false"/>
          <w:color w:val="CBC6C0"/>
          <w:spacing w:val="0"/>
          <w:sz w:val="24"/>
        </w:rPr>
        <w:t>间距为初始距离，以</w:t>
      </w:r>
      <w:r>
        <w:rPr>
          <w:rFonts w:eastAsia="宋体" w:ascii="宋体" w:hAnsi="宋体"/>
          <w:b w:val="false"/>
          <w:i w:val="false"/>
          <w:caps w:val="false"/>
          <w:smallCaps w:val="false"/>
          <w:color w:val="CBC6C0"/>
          <w:spacing w:val="0"/>
          <w:sz w:val="24"/>
        </w:rPr>
        <w:t>1</w:t>
      </w:r>
      <w:r>
        <w:rPr>
          <w:rFonts w:ascii="宋体" w:hAnsi="宋体" w:eastAsia="宋体"/>
          <w:b w:val="false"/>
          <w:i w:val="false"/>
          <w:caps w:val="false"/>
          <w:smallCaps w:val="false"/>
          <w:color w:val="CBC6C0"/>
          <w:spacing w:val="0"/>
          <w:sz w:val="24"/>
        </w:rPr>
        <w:t>毫米为间距增加值，逐步增加两微钛板之间距离至</w:t>
      </w:r>
      <w:r>
        <w:rPr>
          <w:rFonts w:eastAsia="宋体" w:ascii="宋体" w:hAnsi="宋体"/>
          <w:b w:val="false"/>
          <w:i w:val="false"/>
          <w:caps w:val="false"/>
          <w:smallCaps w:val="false"/>
          <w:color w:val="CBC6C0"/>
          <w:spacing w:val="0"/>
          <w:sz w:val="24"/>
        </w:rPr>
        <w:t>23mm</w:t>
      </w:r>
      <w:r>
        <w:rPr>
          <w:rFonts w:ascii="宋体" w:hAnsi="宋体" w:eastAsia="宋体"/>
          <w:b w:val="false"/>
          <w:i w:val="false"/>
          <w:caps w:val="false"/>
          <w:smallCaps w:val="false"/>
          <w:color w:val="CBC6C0"/>
          <w:spacing w:val="0"/>
          <w:sz w:val="24"/>
        </w:rPr>
        <w:t>。两骨折块之间设置为摩擦接触，固定双侧髁突，并于双侧第一磨牙施加</w:t>
      </w:r>
      <w:r>
        <w:rPr>
          <w:rFonts w:eastAsia="宋体" w:ascii="宋体" w:hAnsi="宋体"/>
          <w:b w:val="false"/>
          <w:i w:val="false"/>
          <w:caps w:val="false"/>
          <w:smallCaps w:val="false"/>
          <w:color w:val="CBC6C0"/>
          <w:spacing w:val="0"/>
          <w:sz w:val="24"/>
        </w:rPr>
        <w:t>230N</w:t>
      </w:r>
      <w:r>
        <w:rPr>
          <w:rFonts w:ascii="宋体" w:hAnsi="宋体" w:eastAsia="宋体"/>
          <w:b w:val="false"/>
          <w:i w:val="false"/>
          <w:caps w:val="false"/>
          <w:smallCaps w:val="false"/>
          <w:color w:val="CBC6C0"/>
          <w:spacing w:val="0"/>
          <w:sz w:val="24"/>
        </w:rPr>
        <w:t>的咬合力，计算在此载荷下两骨折块之间的相对位移情况。</w:t>
      </w:r>
    </w:p>
    <w:p>
      <w:pPr>
        <w:pStyle w:val="BodyText"/>
        <w:widowControl/>
        <w:bidi w:val="0"/>
        <w:spacing w:before="0" w:after="240"/>
        <w:ind w:hanging="0" w:left="0" w:right="0"/>
        <w:jc w:val="left"/>
        <w:rPr/>
      </w:pPr>
      <w:r>
        <w:rPr>
          <w:rStyle w:val="Strong"/>
          <w:rFonts w:ascii="宋体" w:hAnsi="宋体" w:eastAsia="宋体"/>
          <w:b w:val="false"/>
          <w:i w:val="false"/>
          <w:caps w:val="false"/>
          <w:smallCaps w:val="false"/>
          <w:color w:val="CBC6C0"/>
          <w:spacing w:val="0"/>
          <w:sz w:val="24"/>
        </w:rPr>
        <w:t>结果</w:t>
      </w:r>
      <w:r>
        <w:rPr>
          <w:rFonts w:ascii="宋体" w:hAnsi="宋体" w:eastAsia="宋体"/>
          <w:b w:val="false"/>
          <w:i w:val="false"/>
          <w:caps w:val="false"/>
          <w:smallCaps w:val="false"/>
          <w:color w:val="CBC6C0"/>
          <w:spacing w:val="0"/>
          <w:sz w:val="24"/>
        </w:rPr>
        <w:t>：通过求解并计算得出以下结果，随着微钛板间距的增加，相对位移值逐渐减少，由间距</w:t>
      </w:r>
      <w:r>
        <w:rPr>
          <w:rFonts w:eastAsia="宋体" w:ascii="宋体" w:hAnsi="宋体"/>
          <w:b w:val="false"/>
          <w:i w:val="false"/>
          <w:caps w:val="false"/>
          <w:smallCaps w:val="false"/>
          <w:color w:val="CBC6C0"/>
          <w:spacing w:val="0"/>
          <w:sz w:val="24"/>
        </w:rPr>
        <w:t>2mm</w:t>
      </w:r>
      <w:r>
        <w:rPr>
          <w:rFonts w:ascii="宋体" w:hAnsi="宋体" w:eastAsia="宋体"/>
          <w:b w:val="false"/>
          <w:i w:val="false"/>
          <w:caps w:val="false"/>
          <w:smallCaps w:val="false"/>
          <w:color w:val="CBC6C0"/>
          <w:spacing w:val="0"/>
          <w:sz w:val="24"/>
        </w:rPr>
        <w:t>时的相对位移</w:t>
      </w:r>
      <w:r>
        <w:rPr>
          <w:rFonts w:eastAsia="宋体" w:ascii="宋体" w:hAnsi="宋体"/>
          <w:b w:val="false"/>
          <w:i w:val="false"/>
          <w:caps w:val="false"/>
          <w:smallCaps w:val="false"/>
          <w:color w:val="CBC6C0"/>
          <w:spacing w:val="0"/>
          <w:sz w:val="24"/>
        </w:rPr>
        <w:t>0.46751mm</w:t>
      </w:r>
      <w:r>
        <w:rPr>
          <w:rFonts w:ascii="宋体" w:hAnsi="宋体" w:eastAsia="宋体"/>
          <w:b w:val="false"/>
          <w:i w:val="false"/>
          <w:caps w:val="false"/>
          <w:smallCaps w:val="false"/>
          <w:color w:val="CBC6C0"/>
          <w:spacing w:val="0"/>
          <w:sz w:val="24"/>
        </w:rPr>
        <w:t>减小至间距</w:t>
      </w:r>
      <w:r>
        <w:rPr>
          <w:rFonts w:eastAsia="宋体" w:ascii="宋体" w:hAnsi="宋体"/>
          <w:b w:val="false"/>
          <w:i w:val="false"/>
          <w:caps w:val="false"/>
          <w:smallCaps w:val="false"/>
          <w:color w:val="CBC6C0"/>
          <w:spacing w:val="0"/>
          <w:sz w:val="24"/>
        </w:rPr>
        <w:t>23mm</w:t>
      </w:r>
      <w:r>
        <w:rPr>
          <w:rFonts w:ascii="宋体" w:hAnsi="宋体" w:eastAsia="宋体"/>
          <w:b w:val="false"/>
          <w:i w:val="false"/>
          <w:caps w:val="false"/>
          <w:smallCaps w:val="false"/>
          <w:color w:val="CBC6C0"/>
          <w:spacing w:val="0"/>
          <w:sz w:val="24"/>
        </w:rPr>
        <w:t>时的相对位移</w:t>
      </w:r>
      <w:r>
        <w:rPr>
          <w:rFonts w:eastAsia="宋体" w:ascii="宋体" w:hAnsi="宋体"/>
          <w:b w:val="false"/>
          <w:i w:val="false"/>
          <w:caps w:val="false"/>
          <w:smallCaps w:val="false"/>
          <w:color w:val="CBC6C0"/>
          <w:spacing w:val="0"/>
          <w:sz w:val="24"/>
        </w:rPr>
        <w:t>0.105789mm</w:t>
      </w:r>
      <w:r>
        <w:rPr>
          <w:rFonts w:ascii="宋体" w:hAnsi="宋体" w:eastAsia="宋体"/>
          <w:b w:val="false"/>
          <w:i w:val="false"/>
          <w:caps w:val="false"/>
          <w:smallCaps w:val="false"/>
          <w:color w:val="CBC6C0"/>
          <w:spacing w:val="0"/>
          <w:sz w:val="24"/>
        </w:rPr>
        <w:t>。在间距</w:t>
      </w:r>
      <w:r>
        <w:rPr>
          <w:rFonts w:eastAsia="宋体" w:ascii="宋体" w:hAnsi="宋体"/>
          <w:b w:val="false"/>
          <w:i w:val="false"/>
          <w:caps w:val="false"/>
          <w:smallCaps w:val="false"/>
          <w:color w:val="CBC6C0"/>
          <w:spacing w:val="0"/>
          <w:sz w:val="24"/>
        </w:rPr>
        <w:t>20mm</w:t>
      </w:r>
      <w:r>
        <w:rPr>
          <w:rFonts w:ascii="宋体" w:hAnsi="宋体" w:eastAsia="宋体"/>
          <w:b w:val="false"/>
          <w:i w:val="false"/>
          <w:caps w:val="false"/>
          <w:smallCaps w:val="false"/>
          <w:color w:val="CBC6C0"/>
          <w:spacing w:val="0"/>
          <w:sz w:val="24"/>
        </w:rPr>
        <w:t>时的相对位移为</w:t>
      </w:r>
      <w:r>
        <w:rPr>
          <w:rFonts w:eastAsia="宋体" w:ascii="宋体" w:hAnsi="宋体"/>
          <w:b w:val="false"/>
          <w:i w:val="false"/>
          <w:caps w:val="false"/>
          <w:smallCaps w:val="false"/>
          <w:color w:val="CBC6C0"/>
          <w:spacing w:val="0"/>
          <w:sz w:val="24"/>
        </w:rPr>
        <w:t>0.147448mm</w:t>
      </w:r>
      <w:r>
        <w:rPr>
          <w:rFonts w:ascii="宋体" w:hAnsi="宋体" w:eastAsia="宋体"/>
          <w:b w:val="false"/>
          <w:i w:val="false"/>
          <w:caps w:val="false"/>
          <w:smallCaps w:val="false"/>
          <w:color w:val="CBC6C0"/>
          <w:spacing w:val="0"/>
          <w:sz w:val="24"/>
        </w:rPr>
        <w:t>，降低至临床骨折一期愈合的相对位移临界值</w:t>
      </w:r>
      <w:r>
        <w:rPr>
          <w:rFonts w:eastAsia="宋体" w:ascii="宋体" w:hAnsi="宋体"/>
          <w:b w:val="false"/>
          <w:i w:val="false"/>
          <w:caps w:val="false"/>
          <w:smallCaps w:val="false"/>
          <w:color w:val="CBC6C0"/>
          <w:spacing w:val="0"/>
          <w:sz w:val="24"/>
        </w:rPr>
        <w:t>0.15mm</w:t>
      </w:r>
      <w:r>
        <w:rPr>
          <w:rFonts w:ascii="宋体" w:hAnsi="宋体" w:eastAsia="宋体"/>
          <w:b w:val="false"/>
          <w:i w:val="false"/>
          <w:caps w:val="false"/>
          <w:smallCaps w:val="false"/>
          <w:color w:val="CBC6C0"/>
          <w:spacing w:val="0"/>
          <w:sz w:val="24"/>
        </w:rPr>
        <w:t>之下。</w:t>
      </w:r>
    </w:p>
    <w:p>
      <w:pPr>
        <w:pStyle w:val="BodyText"/>
        <w:widowControl/>
        <w:bidi w:val="0"/>
        <w:spacing w:before="0" w:after="240"/>
        <w:ind w:hanging="0" w:left="0" w:right="0"/>
        <w:jc w:val="left"/>
        <w:rPr/>
      </w:pPr>
      <w:r>
        <w:rPr>
          <w:rStyle w:val="Strong"/>
          <w:rFonts w:ascii="宋体" w:hAnsi="宋体" w:eastAsia="宋体"/>
          <w:b w:val="false"/>
          <w:i w:val="false"/>
          <w:caps w:val="false"/>
          <w:smallCaps w:val="false"/>
          <w:color w:val="CBC6C0"/>
          <w:spacing w:val="0"/>
          <w:sz w:val="24"/>
        </w:rPr>
        <w:t>结论</w:t>
      </w:r>
      <w:r>
        <w:rPr>
          <w:rFonts w:ascii="宋体" w:hAnsi="宋体" w:eastAsia="宋体"/>
          <w:b w:val="false"/>
          <w:i w:val="false"/>
          <w:caps w:val="false"/>
          <w:smallCaps w:val="false"/>
          <w:color w:val="CBC6C0"/>
          <w:spacing w:val="0"/>
          <w:sz w:val="24"/>
        </w:rPr>
        <w:t>：在下颌升支骨折使用双微钛板固定术后，行使咬合功能时，骨折固定后的稳定性随两微钛板的间距增加而增加，在间距为</w:t>
      </w:r>
      <w:r>
        <w:rPr>
          <w:rFonts w:eastAsia="宋体" w:ascii="宋体" w:hAnsi="宋体"/>
          <w:b w:val="false"/>
          <w:i w:val="false"/>
          <w:caps w:val="false"/>
          <w:smallCaps w:val="false"/>
          <w:color w:val="CBC6C0"/>
          <w:spacing w:val="0"/>
          <w:sz w:val="24"/>
        </w:rPr>
        <w:t>20mm</w:t>
      </w:r>
      <w:r>
        <w:rPr>
          <w:rFonts w:ascii="宋体" w:hAnsi="宋体" w:eastAsia="宋体"/>
          <w:b w:val="false"/>
          <w:i w:val="false"/>
          <w:caps w:val="false"/>
          <w:smallCaps w:val="false"/>
          <w:color w:val="CBC6C0"/>
          <w:spacing w:val="0"/>
          <w:sz w:val="24"/>
        </w:rPr>
        <w:t>时可以达到骨折一期愈合的标准。</w:t>
      </w:r>
    </w:p>
    <w:p>
      <w:pPr>
        <w:pStyle w:val="BodyText"/>
        <w:widowControl/>
        <w:bidi w:val="0"/>
        <w:spacing w:before="0" w:after="240"/>
        <w:ind w:hanging="0" w:left="0" w:right="0"/>
        <w:jc w:val="left"/>
        <w:rPr/>
      </w:pPr>
      <w:r>
        <w:rPr>
          <w:rStyle w:val="Strong"/>
          <w:rFonts w:ascii="宋体" w:hAnsi="宋体" w:eastAsia="宋体"/>
          <w:b w:val="false"/>
          <w:i w:val="false"/>
          <w:caps w:val="false"/>
          <w:smallCaps w:val="false"/>
          <w:color w:val="CBC6C0"/>
          <w:spacing w:val="0"/>
          <w:sz w:val="24"/>
        </w:rPr>
        <w:t>关键词</w:t>
      </w:r>
      <w:r>
        <w:rPr>
          <w:rFonts w:ascii="宋体" w:hAnsi="宋体" w:eastAsia="宋体"/>
          <w:b w:val="false"/>
          <w:i w:val="false"/>
          <w:caps w:val="false"/>
          <w:smallCaps w:val="false"/>
          <w:color w:val="CBC6C0"/>
          <w:spacing w:val="0"/>
          <w:sz w:val="24"/>
        </w:rPr>
        <w:t>：下颌骨骨折；坚强内固定；微钛板；固定方法；有限元分析</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介绍</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下颌骨骨折的损伤机制与其解剖特点密切相关，由于解剖形态较为突出， 且存在诸多薄弱区，如下颌角，髁状突等位置，在受外力下容易发生骨折，下颌骨骨折的发生率在颌面部骨折中占比较大，约为</w:t>
      </w:r>
      <w:r>
        <w:rPr>
          <w:rFonts w:eastAsia="宋体" w:ascii="宋体" w:hAnsi="宋体"/>
          <w:b w:val="false"/>
          <w:i w:val="false"/>
          <w:caps w:val="false"/>
          <w:smallCaps w:val="false"/>
          <w:color w:val="CBC6C0"/>
          <w:spacing w:val="0"/>
          <w:sz w:val="24"/>
        </w:rPr>
        <w:t>70%[1]</w:t>
      </w:r>
      <w:r>
        <w:rPr>
          <w:rFonts w:ascii="宋体" w:hAnsi="宋体" w:eastAsia="宋体"/>
          <w:b w:val="false"/>
          <w:i w:val="false"/>
          <w:caps w:val="false"/>
          <w:smallCaps w:val="false"/>
          <w:color w:val="CBC6C0"/>
          <w:spacing w:val="0"/>
          <w:sz w:val="24"/>
        </w:rPr>
        <w:t>。在下颌骨骨折中最易发生的是下颌角骨折 </w:t>
      </w:r>
      <w:r>
        <w:rPr>
          <w:rStyle w:val="Emphasis"/>
          <w:rFonts w:ascii="宋体" w:hAnsi="宋体" w:eastAsia="宋体"/>
          <w:b w:val="false"/>
          <w:i w:val="false"/>
          <w:caps w:val="false"/>
          <w:smallCaps w:val="false"/>
          <w:color w:val="CBC6C0"/>
          <w:spacing w:val="0"/>
          <w:sz w:val="24"/>
        </w:rPr>
        <w:t>引用</w:t>
      </w:r>
      <w:r>
        <w:rPr>
          <w:rFonts w:ascii="宋体" w:hAnsi="宋体" w:eastAsia="宋体"/>
          <w:b w:val="false"/>
          <w:i w:val="false"/>
          <w:caps w:val="false"/>
          <w:smallCaps w:val="false"/>
          <w:color w:val="CBC6C0"/>
          <w:spacing w:val="0"/>
          <w:sz w:val="24"/>
        </w:rPr>
        <w:t> 下颌升支位于髁突及喙突下，下颌角上部，虽然骨板厚度较相对下颌体部位较薄，但不易发生骨折，有研究表明，下颌升支骨折的发生率占所有骨折的</w:t>
      </w:r>
      <w:r>
        <w:rPr>
          <w:rFonts w:eastAsia="宋体" w:ascii="宋体" w:hAnsi="宋体"/>
          <w:b w:val="false"/>
          <w:i w:val="false"/>
          <w:caps w:val="false"/>
          <w:smallCaps w:val="false"/>
          <w:color w:val="CBC6C0"/>
          <w:spacing w:val="0"/>
          <w:sz w:val="24"/>
        </w:rPr>
        <w:t>17.5%</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w:t>
      </w:r>
      <w:r>
        <w:rPr>
          <w:rFonts w:ascii="宋体" w:hAnsi="宋体" w:eastAsia="宋体"/>
          <w:b w:val="false"/>
          <w:i w:val="false"/>
          <w:caps w:val="false"/>
          <w:smallCaps w:val="false"/>
          <w:color w:val="CBC6C0"/>
          <w:spacing w:val="0"/>
          <w:sz w:val="24"/>
        </w:rPr>
        <w:t>下颌骨骨折统计分析</w:t>
      </w:r>
      <w:r>
        <w:rPr>
          <w:rFonts w:eastAsia="宋体" w:ascii="宋体" w:hAnsi="宋体"/>
          <w:b w:val="false"/>
          <w:i w:val="false"/>
          <w:caps w:val="false"/>
          <w:smallCaps w:val="false"/>
          <w:color w:val="CBC6C0"/>
          <w:spacing w:val="0"/>
          <w:sz w:val="24"/>
        </w:rPr>
        <w:t>_2.pdf]]</w:t>
      </w:r>
      <w:r>
        <w:rPr>
          <w:rFonts w:ascii="宋体" w:hAnsi="宋体" w:eastAsia="宋体"/>
          <w:b w:val="false"/>
          <w:i w:val="false"/>
          <w:caps w:val="false"/>
          <w:smallCaps w:val="false"/>
          <w:color w:val="CBC6C0"/>
          <w:spacing w:val="0"/>
          <w:sz w:val="24"/>
        </w:rPr>
        <w:t>，发生率约为</w:t>
      </w:r>
      <w:r>
        <w:rPr>
          <w:rFonts w:eastAsia="宋体" w:ascii="宋体" w:hAnsi="宋体"/>
          <w:b w:val="false"/>
          <w:i w:val="false"/>
          <w:caps w:val="false"/>
          <w:smallCaps w:val="false"/>
          <w:color w:val="CBC6C0"/>
          <w:spacing w:val="0"/>
          <w:sz w:val="24"/>
        </w:rPr>
        <w:t>7%</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6.1% [[</w:t>
      </w:r>
      <w:r>
        <w:rPr>
          <w:rFonts w:ascii="宋体" w:hAnsi="宋体" w:eastAsia="宋体"/>
          <w:b w:val="false"/>
          <w:i w:val="false"/>
          <w:caps w:val="false"/>
          <w:smallCaps w:val="false"/>
          <w:color w:val="CBC6C0"/>
          <w:spacing w:val="0"/>
          <w:sz w:val="24"/>
        </w:rPr>
        <w:t>下颌骨骨折统计分析</w:t>
      </w:r>
      <w:r>
        <w:rPr>
          <w:rFonts w:eastAsia="宋体" w:ascii="宋体" w:hAnsi="宋体"/>
          <w:b w:val="false"/>
          <w:i w:val="false"/>
          <w:caps w:val="false"/>
          <w:smallCaps w:val="false"/>
          <w:color w:val="CBC6C0"/>
          <w:spacing w:val="0"/>
          <w:sz w:val="24"/>
        </w:rPr>
        <w:t>_4.pdf]]</w:t>
      </w:r>
      <w:r>
        <w:rPr>
          <w:rFonts w:ascii="宋体" w:hAnsi="宋体" w:eastAsia="宋体"/>
          <w:b w:val="false"/>
          <w:i w:val="false"/>
          <w:caps w:val="false"/>
          <w:smallCaps w:val="false"/>
          <w:color w:val="CBC6C0"/>
          <w:spacing w:val="0"/>
          <w:sz w:val="24"/>
        </w:rPr>
        <w:t>，发生率为</w:t>
      </w:r>
      <w:r>
        <w:rPr>
          <w:rFonts w:eastAsia="宋体" w:ascii="宋体" w:hAnsi="宋体"/>
          <w:b w:val="false"/>
          <w:i w:val="false"/>
          <w:caps w:val="false"/>
          <w:smallCaps w:val="false"/>
          <w:color w:val="CBC6C0"/>
          <w:spacing w:val="0"/>
          <w:sz w:val="24"/>
        </w:rPr>
        <w:t>6.6%</w:t>
      </w:r>
      <w:r>
        <w:rPr>
          <w:rFonts w:ascii="宋体" w:hAnsi="宋体" w:eastAsia="宋体"/>
          <w:b w:val="false"/>
          <w:i w:val="false"/>
          <w:caps w:val="false"/>
          <w:smallCaps w:val="false"/>
          <w:color w:val="CBC6C0"/>
          <w:spacing w:val="0"/>
          <w:sz w:val="24"/>
        </w:rPr>
        <w:t>，发生率仅占所有骨折的</w:t>
      </w:r>
      <w:r>
        <w:rPr>
          <w:rFonts w:eastAsia="宋体" w:ascii="宋体" w:hAnsi="宋体"/>
          <w:b w:val="false"/>
          <w:i w:val="false"/>
          <w:caps w:val="false"/>
          <w:smallCaps w:val="false"/>
          <w:color w:val="CBC6C0"/>
          <w:spacing w:val="0"/>
          <w:sz w:val="24"/>
        </w:rPr>
        <w:t>1.98%</w:t>
      </w:r>
      <w:r>
        <w:rPr>
          <w:rFonts w:ascii="宋体" w:hAnsi="宋体" w:eastAsia="宋体"/>
          <w:b w:val="false"/>
          <w:i w:val="false"/>
          <w:caps w:val="false"/>
          <w:smallCaps w:val="false"/>
          <w:color w:val="CBC6C0"/>
          <w:spacing w:val="0"/>
          <w:sz w:val="24"/>
        </w:rPr>
        <w:t>，</w:t>
      </w:r>
      <w:r>
        <w:rPr>
          <w:rStyle w:val="Strong"/>
          <w:rFonts w:ascii="宋体" w:hAnsi="宋体" w:eastAsia="宋体"/>
          <w:b w:val="false"/>
          <w:i w:val="false"/>
          <w:caps w:val="false"/>
          <w:smallCaps w:val="false"/>
          <w:color w:val="CBC6C0"/>
          <w:spacing w:val="0"/>
          <w:sz w:val="24"/>
        </w:rPr>
        <w:t>有文章推测因为有外侧有咀嚼肌的保护</w:t>
      </w:r>
      <w:r>
        <w:rPr>
          <w:rFonts w:eastAsia="宋体" w:ascii="宋体" w:hAnsi="宋体"/>
          <w:b w:val="false"/>
          <w:i w:val="false"/>
          <w:caps w:val="false"/>
          <w:smallCaps w:val="false"/>
          <w:color w:val="CBC6C0"/>
          <w:spacing w:val="0"/>
          <w:sz w:val="24"/>
        </w:rPr>
        <w:t>[[</w:t>
      </w:r>
      <w:r>
        <w:rPr>
          <w:rFonts w:ascii="宋体" w:hAnsi="宋体" w:eastAsia="宋体"/>
          <w:b w:val="false"/>
          <w:i w:val="false"/>
          <w:caps w:val="false"/>
          <w:smallCaps w:val="false"/>
          <w:color w:val="CBC6C0"/>
          <w:spacing w:val="0"/>
          <w:sz w:val="24"/>
        </w:rPr>
        <w:t>下颌骨骨折统计分析</w:t>
      </w:r>
      <w:r>
        <w:rPr>
          <w:rFonts w:eastAsia="宋体" w:ascii="宋体" w:hAnsi="宋体"/>
          <w:b w:val="false"/>
          <w:i w:val="false"/>
          <w:caps w:val="false"/>
          <w:smallCaps w:val="false"/>
          <w:color w:val="CBC6C0"/>
          <w:spacing w:val="0"/>
          <w:sz w:val="24"/>
        </w:rPr>
        <w:t>.pdf]]</w:t>
      </w:r>
      <w:r>
        <w:rPr>
          <w:rFonts w:ascii="宋体" w:hAnsi="宋体" w:eastAsia="宋体"/>
          <w:b w:val="false"/>
          <w:i w:val="false"/>
          <w:caps w:val="false"/>
          <w:smallCaps w:val="false"/>
          <w:color w:val="CBC6C0"/>
          <w:spacing w:val="0"/>
          <w:sz w:val="24"/>
        </w:rPr>
        <w:t>，骨折发生率仅高于髁突及牙槽突骨折</w:t>
      </w:r>
      <w:r>
        <w:rPr>
          <w:rFonts w:eastAsia="宋体" w:ascii="宋体" w:hAnsi="宋体"/>
          <w:b w:val="false"/>
          <w:i w:val="false"/>
          <w:caps w:val="false"/>
          <w:smallCaps w:val="false"/>
          <w:color w:val="CBC6C0"/>
          <w:spacing w:val="0"/>
          <w:sz w:val="24"/>
        </w:rPr>
        <w:t>[2-4]</w:t>
      </w:r>
      <w:r>
        <w:rPr>
          <w:rFonts w:ascii="宋体" w:hAnsi="宋体" w:eastAsia="宋体"/>
          <w:b w:val="false"/>
          <w:i w:val="false"/>
          <w:caps w:val="false"/>
          <w:smallCaps w:val="false"/>
          <w:color w:val="CBC6C0"/>
          <w:spacing w:val="0"/>
          <w:sz w:val="24"/>
        </w:rPr>
        <w:t>。</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下颌骨骨折的治疗对患者的预后至关重要，骨折治疗的主要目的是解剖复位及恢复正常咬合，过去常使用非侵入性的保守治疗方法，如颌间固定 </w:t>
      </w:r>
      <w:r>
        <w:rPr>
          <w:rStyle w:val="Emphasis"/>
          <w:rFonts w:ascii="宋体" w:hAnsi="宋体" w:eastAsia="宋体"/>
          <w:b w:val="false"/>
          <w:i w:val="false"/>
          <w:caps w:val="false"/>
          <w:smallCaps w:val="false"/>
          <w:color w:val="CBC6C0"/>
          <w:spacing w:val="0"/>
          <w:sz w:val="24"/>
        </w:rPr>
        <w:t>说颌间固定是什么</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maxillomandibularfixation,MMF</w:t>
      </w:r>
      <w:r>
        <w:rPr>
          <w:rFonts w:ascii="宋体" w:hAnsi="宋体" w:eastAsia="宋体"/>
          <w:b w:val="false"/>
          <w:i w:val="false"/>
          <w:caps w:val="false"/>
          <w:smallCaps w:val="false"/>
          <w:color w:val="CBC6C0"/>
          <w:spacing w:val="0"/>
          <w:sz w:val="24"/>
        </w:rPr>
        <w:t>），而较少使用侵入性治疗方法。但目前的研究表明及指南建议使用切开复位内固定（</w:t>
      </w:r>
      <w:r>
        <w:rPr>
          <w:rFonts w:eastAsia="宋体" w:ascii="宋体" w:hAnsi="宋体"/>
          <w:b w:val="false"/>
          <w:i w:val="false"/>
          <w:caps w:val="false"/>
          <w:smallCaps w:val="false"/>
          <w:color w:val="CBC6C0"/>
          <w:spacing w:val="0"/>
          <w:sz w:val="24"/>
        </w:rPr>
        <w:t>Open Reduction Internal Fixation</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ORIF</w:t>
      </w:r>
      <w:r>
        <w:rPr>
          <w:rFonts w:ascii="宋体" w:hAnsi="宋体" w:eastAsia="宋体"/>
          <w:b w:val="false"/>
          <w:i w:val="false"/>
          <w:caps w:val="false"/>
          <w:smallCaps w:val="false"/>
          <w:color w:val="CBC6C0"/>
          <w:spacing w:val="0"/>
          <w:sz w:val="24"/>
        </w:rPr>
        <w:t>）的手术方法</w:t>
      </w:r>
      <w:r>
        <w:rPr>
          <w:rFonts w:eastAsia="宋体" w:ascii="宋体" w:hAnsi="宋体"/>
          <w:b w:val="false"/>
          <w:i w:val="false"/>
          <w:caps w:val="false"/>
          <w:smallCaps w:val="false"/>
          <w:color w:val="CBC6C0"/>
          <w:spacing w:val="0"/>
          <w:sz w:val="24"/>
        </w:rPr>
        <w:t>[5]</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w:t>
      </w:r>
      <w:r>
        <w:rPr>
          <w:rFonts w:ascii="宋体" w:hAnsi="宋体" w:eastAsia="宋体"/>
          <w:b w:val="false"/>
          <w:i w:val="false"/>
          <w:caps w:val="false"/>
          <w:smallCaps w:val="false"/>
          <w:color w:val="CBC6C0"/>
          <w:spacing w:val="0"/>
          <w:sz w:val="24"/>
        </w:rPr>
        <w:t>下颌骨骨折统计分析</w:t>
      </w:r>
      <w:r>
        <w:rPr>
          <w:rFonts w:eastAsia="宋体" w:ascii="宋体" w:hAnsi="宋体"/>
          <w:b w:val="false"/>
          <w:i w:val="false"/>
          <w:caps w:val="false"/>
          <w:smallCaps w:val="false"/>
          <w:color w:val="CBC6C0"/>
          <w:spacing w:val="0"/>
          <w:sz w:val="24"/>
        </w:rPr>
        <w:t>_3.pdf]] </w:t>
      </w:r>
      <w:r>
        <w:rPr>
          <w:rStyle w:val="Emphasis"/>
          <w:rFonts w:ascii="宋体" w:hAnsi="宋体" w:eastAsia="宋体"/>
          <w:b w:val="false"/>
          <w:i w:val="false"/>
          <w:caps w:val="false"/>
          <w:smallCaps w:val="false"/>
          <w:color w:val="CBC6C0"/>
          <w:spacing w:val="0"/>
          <w:sz w:val="24"/>
        </w:rPr>
        <w:t>添加具体什么是颌间固定</w:t>
      </w:r>
      <w:r>
        <w:rPr>
          <w:rFonts w:ascii="宋体" w:hAnsi="宋体" w:eastAsia="宋体"/>
          <w:b w:val="false"/>
          <w:i w:val="false"/>
          <w:caps w:val="false"/>
          <w:smallCaps w:val="false"/>
          <w:color w:val="CBC6C0"/>
          <w:spacing w:val="0"/>
          <w:sz w:val="24"/>
        </w:rPr>
        <w:t> </w:t>
      </w:r>
      <w:r>
        <w:rPr>
          <w:rStyle w:val="Emphasis"/>
          <w:rFonts w:ascii="宋体" w:hAnsi="宋体" w:eastAsia="宋体"/>
          <w:b w:val="false"/>
          <w:i w:val="false"/>
          <w:caps w:val="false"/>
          <w:smallCaps w:val="false"/>
          <w:color w:val="CBC6C0"/>
          <w:spacing w:val="0"/>
          <w:sz w:val="24"/>
        </w:rPr>
        <w:t>继续写关于这两个问题</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在下颌升支骨折的传统方法使用颌间固定</w:t>
      </w:r>
      <w:r>
        <w:rPr>
          <w:rFonts w:eastAsia="宋体" w:ascii="宋体" w:hAnsi="宋体"/>
          <w:b w:val="false"/>
          <w:i w:val="false"/>
          <w:caps w:val="false"/>
          <w:smallCaps w:val="false"/>
          <w:color w:val="CBC6C0"/>
          <w:spacing w:val="0"/>
          <w:sz w:val="24"/>
        </w:rPr>
        <w:t>3</w:t>
      </w:r>
      <w:r>
        <w:rPr>
          <w:rFonts w:ascii="宋体" w:hAnsi="宋体" w:eastAsia="宋体"/>
          <w:b w:val="false"/>
          <w:i w:val="false"/>
          <w:caps w:val="false"/>
          <w:smallCaps w:val="false"/>
          <w:color w:val="CBC6C0"/>
          <w:spacing w:val="0"/>
          <w:sz w:val="24"/>
        </w:rPr>
        <w:t>周，因为难以暴露手术视野的问题， </w:t>
      </w:r>
      <w:r>
        <w:rPr>
          <w:rStyle w:val="Emphasis"/>
          <w:rFonts w:ascii="宋体" w:hAnsi="宋体" w:eastAsia="宋体"/>
          <w:b w:val="false"/>
          <w:i w:val="false"/>
          <w:caps w:val="false"/>
          <w:smallCaps w:val="false"/>
          <w:color w:val="CBC6C0"/>
          <w:spacing w:val="0"/>
          <w:sz w:val="24"/>
        </w:rPr>
        <w:t>引用</w:t>
      </w:r>
      <w:r>
        <w:rPr>
          <w:rFonts w:ascii="宋体" w:hAnsi="宋体" w:eastAsia="宋体"/>
          <w:b w:val="false"/>
          <w:i w:val="false"/>
          <w:caps w:val="false"/>
          <w:smallCaps w:val="false"/>
          <w:color w:val="CBC6C0"/>
          <w:spacing w:val="0"/>
          <w:sz w:val="24"/>
        </w:rPr>
        <w:t> ， 固定存在诸多问题，如口腔维护不佳，营养风险，气道受阻及无法一期愈合等问题。故目前下颌升支的治疗一般采用</w:t>
      </w:r>
      <w:r>
        <w:rPr>
          <w:rFonts w:eastAsia="宋体" w:ascii="宋体" w:hAnsi="宋体"/>
          <w:b w:val="false"/>
          <w:i w:val="false"/>
          <w:caps w:val="false"/>
          <w:smallCaps w:val="false"/>
          <w:color w:val="CBC6C0"/>
          <w:spacing w:val="0"/>
          <w:sz w:val="24"/>
        </w:rPr>
        <w:t>ORIF</w:t>
      </w:r>
      <w:r>
        <w:rPr>
          <w:rFonts w:ascii="宋体" w:hAnsi="宋体" w:eastAsia="宋体"/>
          <w:b w:val="false"/>
          <w:i w:val="false"/>
          <w:caps w:val="false"/>
          <w:smallCaps w:val="false"/>
          <w:color w:val="CBC6C0"/>
          <w:spacing w:val="0"/>
          <w:sz w:val="24"/>
        </w:rPr>
        <w:t>的方法。</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骨折固定后的稳定性至关重要，如果骨折固定后在行使咬合功能时，两骨折块之间发生了位移，则骨折愈合会受到影响， </w:t>
      </w:r>
      <w:r>
        <w:rPr>
          <w:rStyle w:val="Emphasis"/>
          <w:rFonts w:ascii="宋体" w:hAnsi="宋体" w:eastAsia="宋体"/>
          <w:b w:val="false"/>
          <w:i w:val="false"/>
          <w:caps w:val="false"/>
          <w:smallCaps w:val="false"/>
          <w:color w:val="CBC6C0"/>
          <w:spacing w:val="0"/>
          <w:sz w:val="24"/>
        </w:rPr>
        <w:t>具体受到什么影响引用</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对骨折固定后影响的研究有多种方法，如使用体外模型，使用临床资料，观察预后， </w:t>
      </w:r>
      <w:r>
        <w:rPr>
          <w:rStyle w:val="Emphasis"/>
          <w:rFonts w:ascii="宋体" w:hAnsi="宋体" w:eastAsia="宋体"/>
          <w:b w:val="false"/>
          <w:i w:val="false"/>
          <w:caps w:val="false"/>
          <w:smallCaps w:val="false"/>
          <w:color w:val="CBC6C0"/>
          <w:spacing w:val="0"/>
          <w:sz w:val="24"/>
        </w:rPr>
        <w:t>引用</w:t>
      </w:r>
      <w:r>
        <w:rPr>
          <w:rFonts w:ascii="宋体" w:hAnsi="宋体" w:eastAsia="宋体"/>
          <w:b w:val="false"/>
          <w:i w:val="false"/>
          <w:caps w:val="false"/>
          <w:smallCaps w:val="false"/>
          <w:color w:val="CBC6C0"/>
          <w:spacing w:val="0"/>
          <w:sz w:val="24"/>
        </w:rPr>
        <w:t> </w:t>
      </w:r>
      <w:r>
        <w:rPr>
          <w:rStyle w:val="Emphasis"/>
          <w:rFonts w:ascii="宋体" w:hAnsi="宋体" w:eastAsia="宋体"/>
          <w:b w:val="false"/>
          <w:i w:val="false"/>
          <w:caps w:val="false"/>
          <w:smallCaps w:val="false"/>
          <w:color w:val="CBC6C0"/>
          <w:spacing w:val="0"/>
          <w:sz w:val="24"/>
        </w:rPr>
        <w:t>说谁使用了什么方法对稳定性进行了研究</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有限元分析法是一种重要的力学研究方法，可通过计算机模拟仿真的方式，给物体上分配不同材料后施加载荷，来预测物体对力的反应</w:t>
      </w:r>
      <w:r>
        <w:rPr>
          <w:rFonts w:eastAsia="宋体" w:ascii="宋体" w:hAnsi="宋体"/>
          <w:b w:val="false"/>
          <w:i w:val="false"/>
          <w:caps w:val="false"/>
          <w:smallCaps w:val="false"/>
          <w:color w:val="CBC6C0"/>
          <w:spacing w:val="0"/>
          <w:sz w:val="24"/>
        </w:rPr>
        <w:t>[6]</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1960</w:t>
      </w:r>
      <w:r>
        <w:rPr>
          <w:rFonts w:ascii="宋体" w:hAnsi="宋体" w:eastAsia="宋体"/>
          <w:b w:val="false"/>
          <w:i w:val="false"/>
          <w:caps w:val="false"/>
          <w:smallCaps w:val="false"/>
          <w:color w:val="CBC6C0"/>
          <w:spacing w:val="0"/>
          <w:sz w:val="24"/>
        </w:rPr>
        <w:t>年，</w:t>
      </w:r>
      <w:r>
        <w:rPr>
          <w:rFonts w:eastAsia="宋体" w:ascii="宋体" w:hAnsi="宋体"/>
          <w:b w:val="false"/>
          <w:i w:val="false"/>
          <w:caps w:val="false"/>
          <w:smallCaps w:val="false"/>
          <w:color w:val="CBC6C0"/>
          <w:spacing w:val="0"/>
          <w:sz w:val="24"/>
        </w:rPr>
        <w:t>Friedenberg[7]</w:t>
      </w:r>
      <w:r>
        <w:rPr>
          <w:rFonts w:ascii="宋体" w:hAnsi="宋体" w:eastAsia="宋体"/>
          <w:b w:val="false"/>
          <w:i w:val="false"/>
          <w:caps w:val="false"/>
          <w:smallCaps w:val="false"/>
          <w:color w:val="CBC6C0"/>
          <w:spacing w:val="0"/>
          <w:sz w:val="24"/>
        </w:rPr>
        <w:t>首次将有限元法引入到医学领域。</w:t>
      </w:r>
      <w:r>
        <w:rPr>
          <w:rFonts w:eastAsia="宋体" w:ascii="宋体" w:hAnsi="宋体"/>
          <w:b w:val="false"/>
          <w:i w:val="false"/>
          <w:caps w:val="false"/>
          <w:smallCaps w:val="false"/>
          <w:color w:val="CBC6C0"/>
          <w:spacing w:val="0"/>
          <w:sz w:val="24"/>
        </w:rPr>
        <w:t>1973</w:t>
      </w:r>
      <w:r>
        <w:rPr>
          <w:rFonts w:ascii="宋体" w:hAnsi="宋体" w:eastAsia="宋体"/>
          <w:b w:val="false"/>
          <w:i w:val="false"/>
          <w:caps w:val="false"/>
          <w:smallCaps w:val="false"/>
          <w:color w:val="CBC6C0"/>
          <w:spacing w:val="0"/>
          <w:sz w:val="24"/>
        </w:rPr>
        <w:t>年，有限元法被</w:t>
      </w:r>
      <w:r>
        <w:rPr>
          <w:rFonts w:eastAsia="宋体" w:ascii="宋体" w:hAnsi="宋体"/>
          <w:b w:val="false"/>
          <w:i w:val="false"/>
          <w:caps w:val="false"/>
          <w:smallCaps w:val="false"/>
          <w:color w:val="CBC6C0"/>
          <w:spacing w:val="0"/>
          <w:sz w:val="24"/>
        </w:rPr>
        <w:t>Thresher</w:t>
      </w:r>
      <w:r>
        <w:rPr>
          <w:rFonts w:ascii="宋体" w:hAnsi="宋体" w:eastAsia="宋体"/>
          <w:b w:val="false"/>
          <w:i w:val="false"/>
          <w:caps w:val="false"/>
          <w:smallCaps w:val="false"/>
          <w:color w:val="CBC6C0"/>
          <w:spacing w:val="0"/>
          <w:sz w:val="24"/>
        </w:rPr>
        <w:t>等</w:t>
      </w:r>
      <w:r>
        <w:rPr>
          <w:rFonts w:eastAsia="宋体" w:ascii="宋体" w:hAnsi="宋体"/>
          <w:b w:val="false"/>
          <w:i w:val="false"/>
          <w:caps w:val="false"/>
          <w:smallCaps w:val="false"/>
          <w:color w:val="CBC6C0"/>
          <w:spacing w:val="0"/>
          <w:sz w:val="24"/>
        </w:rPr>
        <w:t>[8]</w:t>
      </w:r>
      <w:r>
        <w:rPr>
          <w:rFonts w:ascii="宋体" w:hAnsi="宋体" w:eastAsia="宋体"/>
          <w:b w:val="false"/>
          <w:i w:val="false"/>
          <w:caps w:val="false"/>
          <w:smallCaps w:val="false"/>
          <w:color w:val="CBC6C0"/>
          <w:spacing w:val="0"/>
          <w:sz w:val="24"/>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rFonts w:eastAsia="宋体" w:ascii="宋体" w:hAnsi="宋体"/>
          <w:b w:val="false"/>
          <w:i w:val="false"/>
          <w:caps w:val="false"/>
          <w:smallCaps w:val="false"/>
          <w:color w:val="CBC6C0"/>
          <w:spacing w:val="0"/>
          <w:sz w:val="24"/>
        </w:rPr>
        <w:t>[10]</w:t>
      </w:r>
      <w:r>
        <w:rPr>
          <w:rFonts w:ascii="宋体" w:hAnsi="宋体" w:eastAsia="宋体"/>
          <w:b w:val="false"/>
          <w:i w:val="false"/>
          <w:caps w:val="false"/>
          <w:smallCaps w:val="false"/>
          <w:color w:val="CBC6C0"/>
          <w:spacing w:val="0"/>
          <w:sz w:val="24"/>
        </w:rPr>
        <w:t>，</w:t>
      </w:r>
      <w:r>
        <w:rPr>
          <w:rStyle w:val="Emphasis"/>
          <w:rFonts w:ascii="宋体" w:hAnsi="宋体" w:eastAsia="宋体"/>
          <w:b w:val="false"/>
          <w:i w:val="false"/>
          <w:caps w:val="false"/>
          <w:smallCaps w:val="false"/>
          <w:color w:val="CBC6C0"/>
          <w:spacing w:val="0"/>
          <w:sz w:val="24"/>
        </w:rPr>
        <w:t>此处引用文献</w:t>
      </w:r>
      <w:r>
        <w:rPr>
          <w:rFonts w:ascii="宋体" w:hAnsi="宋体" w:eastAsia="宋体"/>
          <w:b w:val="false"/>
          <w:i w:val="false"/>
          <w:caps w:val="false"/>
          <w:smallCaps w:val="false"/>
          <w:color w:val="CBC6C0"/>
          <w:spacing w:val="0"/>
          <w:sz w:val="24"/>
        </w:rPr>
        <w:t> ，在传统的生物力学分析中，常使用解剖模型或者树脂模型来进行力学分析，</w:t>
      </w:r>
      <w:r>
        <w:rPr>
          <w:rStyle w:val="Emphasis"/>
          <w:rFonts w:ascii="宋体" w:hAnsi="宋体" w:eastAsia="宋体"/>
          <w:b w:val="false"/>
          <w:i w:val="false"/>
          <w:caps w:val="false"/>
          <w:smallCaps w:val="false"/>
          <w:color w:val="CBC6C0"/>
          <w:spacing w:val="0"/>
          <w:sz w:val="24"/>
        </w:rPr>
        <w:t>引用</w:t>
      </w:r>
      <w:r>
        <w:rPr>
          <w:rFonts w:ascii="宋体" w:hAnsi="宋体" w:eastAsia="宋体"/>
          <w:b w:val="false"/>
          <w:i w:val="false"/>
          <w:caps w:val="false"/>
          <w:smallCaps w:val="false"/>
          <w:color w:val="CBC6C0"/>
          <w:spacing w:val="0"/>
          <w:sz w:val="24"/>
        </w:rPr>
        <w:t> 存在成本较高，直观性较差，破坏性较强等缺点，模型及固定在模型上的微钛版在使用万能试验机进行一次实验后，会发生变形，甚至断裂，若想完成大量实验成本较高，而此方法可以将数字化的影像资料如</w:t>
      </w:r>
      <w:r>
        <w:rPr>
          <w:rFonts w:eastAsia="宋体" w:ascii="宋体" w:hAnsi="宋体"/>
          <w:b w:val="false"/>
          <w:i w:val="false"/>
          <w:caps w:val="false"/>
          <w:smallCaps w:val="false"/>
          <w:color w:val="CBC6C0"/>
          <w:spacing w:val="0"/>
          <w:sz w:val="24"/>
        </w:rPr>
        <w:t>CBCT</w:t>
      </w:r>
      <w:r>
        <w:rPr>
          <w:rFonts w:ascii="宋体" w:hAnsi="宋体" w:eastAsia="宋体"/>
          <w:b w:val="false"/>
          <w:i w:val="false"/>
          <w:caps w:val="false"/>
          <w:smallCaps w:val="false"/>
          <w:color w:val="CBC6C0"/>
          <w:spacing w:val="0"/>
          <w:sz w:val="24"/>
        </w:rPr>
        <w:t>进行三维重建，来在计算机上模拟体外模型，有无破坏性，可重复实验，可量化分析，实验成本较低等优点，故本研究采用计算机模拟的三维有限元分析的方法进行实验。</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Fonts w:ascii="宋体" w:hAnsi="宋体" w:eastAsia="宋体"/>
          <w:b w:val="false"/>
          <w:i w:val="false"/>
          <w:caps w:val="false"/>
          <w:smallCaps w:val="false"/>
          <w:color w:val="CBC6C0"/>
          <w:spacing w:val="0"/>
          <w:sz w:val="24"/>
        </w:rPr>
        <w:t>引用</w:t>
      </w:r>
      <w:r>
        <w:rPr>
          <w:rFonts w:ascii="宋体" w:hAnsi="宋体" w:eastAsia="宋体"/>
          <w:b w:val="false"/>
          <w:i w:val="false"/>
          <w:caps w:val="false"/>
          <w:smallCaps w:val="false"/>
          <w:color w:val="CBC6C0"/>
          <w:spacing w:val="0"/>
          <w:sz w:val="24"/>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材料与方法</w:t>
      </w:r>
    </w:p>
    <w:p>
      <w:pPr>
        <w:pStyle w:val="BodyText"/>
        <w:widowControl/>
        <w:bidi w:val="0"/>
        <w:spacing w:before="0" w:after="240"/>
        <w:ind w:hanging="0" w:left="0" w:right="0"/>
        <w:jc w:val="left"/>
        <w:rPr>
          <w:rFonts w:ascii="宋体" w:hAnsi="宋体" w:eastAsia="宋体"/>
        </w:rPr>
      </w:pPr>
      <w:r>
        <w:rPr>
          <w:rFonts w:eastAsia="宋体" w:ascii="宋体" w:hAnsi="宋体"/>
          <w:b w:val="false"/>
          <w:i w:val="false"/>
          <w:caps w:val="false"/>
          <w:smallCaps w:val="false"/>
          <w:color w:val="CBC6C0"/>
          <w:spacing w:val="0"/>
          <w:sz w:val="24"/>
        </w:rPr>
        <w:t xml:space="preserve">1.1 </w:t>
      </w:r>
      <w:r>
        <w:rPr>
          <w:rFonts w:ascii="宋体" w:hAnsi="宋体" w:eastAsia="宋体"/>
          <w:b w:val="false"/>
          <w:i w:val="false"/>
          <w:caps w:val="false"/>
          <w:smallCaps w:val="false"/>
          <w:color w:val="CBC6C0"/>
          <w:spacing w:val="0"/>
          <w:sz w:val="24"/>
        </w:rPr>
        <w:t>下颌骨模型的三维重建：</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选取一名健康成年志愿者，无错颌畸形，使用锥形束计算机断层成像（</w:t>
      </w:r>
      <w:r>
        <w:rPr>
          <w:rFonts w:eastAsia="宋体" w:ascii="宋体" w:hAnsi="宋体"/>
          <w:b w:val="false"/>
          <w:i w:val="false"/>
          <w:caps w:val="false"/>
          <w:smallCaps w:val="false"/>
          <w:color w:val="CBC6C0"/>
          <w:spacing w:val="0"/>
          <w:sz w:val="24"/>
        </w:rPr>
        <w:t>cone beam computerized tomography</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CBCT</w:t>
      </w:r>
      <w:r>
        <w:rPr>
          <w:rFonts w:ascii="宋体" w:hAnsi="宋体" w:eastAsia="宋体"/>
          <w:b w:val="false"/>
          <w:i w:val="false"/>
          <w:caps w:val="false"/>
          <w:smallCaps w:val="false"/>
          <w:color w:val="CBC6C0"/>
          <w:spacing w:val="0"/>
          <w:sz w:val="24"/>
        </w:rPr>
        <w:t>）扫描志愿者的颌面部。本研究已通过扫延边大学附属医院伦理审核，志愿者在实验前签署了知情同意书，将扫描结果储存为</w:t>
      </w:r>
      <w:r>
        <w:rPr>
          <w:rFonts w:eastAsia="宋体" w:ascii="宋体" w:hAnsi="宋体"/>
          <w:b w:val="false"/>
          <w:i w:val="false"/>
          <w:caps w:val="false"/>
          <w:smallCaps w:val="false"/>
          <w:color w:val="CBC6C0"/>
          <w:spacing w:val="0"/>
          <w:sz w:val="24"/>
        </w:rPr>
        <w:t>DICOM</w:t>
      </w:r>
      <w:r>
        <w:rPr>
          <w:rFonts w:ascii="宋体" w:hAnsi="宋体" w:eastAsia="宋体"/>
          <w:b w:val="false"/>
          <w:i w:val="false"/>
          <w:caps w:val="false"/>
          <w:smallCaps w:val="false"/>
          <w:color w:val="CBC6C0"/>
          <w:spacing w:val="0"/>
          <w:sz w:val="24"/>
        </w:rPr>
        <w:t>格式。将获得的</w:t>
      </w:r>
      <w:r>
        <w:rPr>
          <w:rFonts w:eastAsia="宋体" w:ascii="宋体" w:hAnsi="宋体"/>
          <w:b w:val="false"/>
          <w:i w:val="false"/>
          <w:caps w:val="false"/>
          <w:smallCaps w:val="false"/>
          <w:color w:val="CBC6C0"/>
          <w:spacing w:val="0"/>
          <w:sz w:val="24"/>
        </w:rPr>
        <w:t>CBCT</w:t>
      </w:r>
      <w:r>
        <w:rPr>
          <w:rFonts w:ascii="宋体" w:hAnsi="宋体" w:eastAsia="宋体"/>
          <w:b w:val="false"/>
          <w:i w:val="false"/>
          <w:caps w:val="false"/>
          <w:smallCaps w:val="false"/>
          <w:color w:val="CBC6C0"/>
          <w:spacing w:val="0"/>
          <w:sz w:val="24"/>
        </w:rPr>
        <w:t>影像资料导入医学三维重建软件</w:t>
      </w:r>
      <w:r>
        <w:rPr>
          <w:rFonts w:eastAsia="宋体" w:ascii="宋体" w:hAnsi="宋体"/>
          <w:b w:val="false"/>
          <w:i w:val="false"/>
          <w:caps w:val="false"/>
          <w:smallCaps w:val="false"/>
          <w:color w:val="CBC6C0"/>
          <w:spacing w:val="0"/>
          <w:sz w:val="24"/>
        </w:rPr>
        <w:t>Mimics 26.0</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Materialise</w:t>
      </w:r>
      <w:r>
        <w:rPr>
          <w:rFonts w:ascii="宋体" w:hAnsi="宋体" w:eastAsia="宋体"/>
          <w:b w:val="false"/>
          <w:i w:val="false"/>
          <w:caps w:val="false"/>
          <w:smallCaps w:val="false"/>
          <w:color w:val="CBC6C0"/>
          <w:spacing w:val="0"/>
          <w:sz w:val="24"/>
        </w:rPr>
        <w:t>，美国）中。通过蒙版指令对</w:t>
      </w:r>
      <w:r>
        <w:rPr>
          <w:rFonts w:eastAsia="宋体" w:ascii="宋体" w:hAnsi="宋体"/>
          <w:b w:val="false"/>
          <w:i w:val="false"/>
          <w:caps w:val="false"/>
          <w:smallCaps w:val="false"/>
          <w:color w:val="CBC6C0"/>
          <w:spacing w:val="0"/>
          <w:sz w:val="24"/>
        </w:rPr>
        <w:t>CBCT</w:t>
      </w:r>
      <w:r>
        <w:rPr>
          <w:rFonts w:ascii="宋体" w:hAnsi="宋体" w:eastAsia="宋体"/>
          <w:b w:val="false"/>
          <w:i w:val="false"/>
          <w:caps w:val="false"/>
          <w:smallCaps w:val="false"/>
          <w:color w:val="CBC6C0"/>
          <w:spacing w:val="0"/>
          <w:sz w:val="24"/>
        </w:rPr>
        <w:t>图像进行三维重建，分别重建下颌骨及下颌牙列，并保存为</w:t>
      </w:r>
      <w:r>
        <w:rPr>
          <w:rFonts w:eastAsia="宋体" w:ascii="宋体" w:hAnsi="宋体"/>
          <w:b w:val="false"/>
          <w:i w:val="false"/>
          <w:caps w:val="false"/>
          <w:smallCaps w:val="false"/>
          <w:color w:val="CBC6C0"/>
          <w:spacing w:val="0"/>
          <w:sz w:val="24"/>
        </w:rPr>
        <w:t>.stl</w:t>
      </w:r>
      <w:r>
        <w:rPr>
          <w:rFonts w:ascii="宋体" w:hAnsi="宋体" w:eastAsia="宋体"/>
          <w:b w:val="false"/>
          <w:i w:val="false"/>
          <w:caps w:val="false"/>
          <w:smallCaps w:val="false"/>
          <w:color w:val="CBC6C0"/>
          <w:spacing w:val="0"/>
          <w:sz w:val="24"/>
        </w:rPr>
        <w:t>格式。在</w:t>
      </w:r>
      <w:r>
        <w:rPr>
          <w:rFonts w:eastAsia="宋体" w:ascii="宋体" w:hAnsi="宋体"/>
          <w:b w:val="false"/>
          <w:i w:val="false"/>
          <w:caps w:val="false"/>
          <w:smallCaps w:val="false"/>
          <w:color w:val="CBC6C0"/>
          <w:spacing w:val="0"/>
          <w:sz w:val="24"/>
        </w:rPr>
        <w:t>3-Matic 18.0</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Materialise</w:t>
      </w:r>
      <w:r>
        <w:rPr>
          <w:rFonts w:ascii="宋体" w:hAnsi="宋体" w:eastAsia="宋体"/>
          <w:b w:val="false"/>
          <w:i w:val="false"/>
          <w:caps w:val="false"/>
          <w:smallCaps w:val="false"/>
          <w:color w:val="CBC6C0"/>
          <w:spacing w:val="0"/>
          <w:sz w:val="24"/>
        </w:rPr>
        <w:t>，美国）中对重建后的模型做重画网格，局部光滑等优化处理，并检查是否有重叠面，缺失面等问题。使用“</w:t>
      </w:r>
      <w:r>
        <w:rPr>
          <w:rFonts w:eastAsia="宋体" w:ascii="宋体" w:hAnsi="宋体"/>
          <w:b w:val="false"/>
          <w:i w:val="false"/>
          <w:caps w:val="false"/>
          <w:smallCaps w:val="false"/>
          <w:color w:val="CBC6C0"/>
          <w:spacing w:val="0"/>
          <w:sz w:val="24"/>
        </w:rPr>
        <w:t>Uniform Offset”</w:t>
      </w:r>
      <w:r>
        <w:rPr>
          <w:rFonts w:ascii="宋体" w:hAnsi="宋体" w:eastAsia="宋体"/>
          <w:b w:val="false"/>
          <w:i w:val="false"/>
          <w:caps w:val="false"/>
          <w:smallCaps w:val="false"/>
          <w:color w:val="CBC6C0"/>
          <w:spacing w:val="0"/>
          <w:sz w:val="24"/>
        </w:rPr>
        <w:t>命令建立上颌骨的松质骨模型，及建立牙周膜所需的均匀放大后的牙列。</w:t>
      </w:r>
    </w:p>
    <w:p>
      <w:pPr>
        <w:pStyle w:val="BodyText"/>
        <w:widowControl/>
        <w:bidi w:val="0"/>
        <w:spacing w:before="0" w:after="240"/>
        <w:ind w:hanging="0" w:left="0" w:right="0"/>
        <w:jc w:val="left"/>
        <w:rPr>
          <w:rFonts w:ascii="宋体" w:hAnsi="宋体" w:eastAsia="宋体"/>
        </w:rPr>
      </w:pPr>
      <w:r>
        <w:rPr>
          <w:rFonts w:eastAsia="宋体" w:ascii="宋体" w:hAnsi="宋体"/>
          <w:b w:val="false"/>
          <w:i w:val="false"/>
          <w:caps w:val="false"/>
          <w:smallCaps w:val="false"/>
          <w:color w:val="CBC6C0"/>
          <w:spacing w:val="0"/>
          <w:sz w:val="24"/>
        </w:rPr>
        <w:t xml:space="preserve">1.2 </w:t>
      </w:r>
      <w:r>
        <w:rPr>
          <w:rFonts w:ascii="宋体" w:hAnsi="宋体" w:eastAsia="宋体"/>
          <w:b w:val="false"/>
          <w:i w:val="false"/>
          <w:caps w:val="false"/>
          <w:smallCaps w:val="false"/>
          <w:color w:val="CBC6C0"/>
          <w:spacing w:val="0"/>
          <w:sz w:val="24"/>
        </w:rPr>
        <w:t>建立有限元模型</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将上述</w:t>
      </w:r>
      <w:r>
        <w:rPr>
          <w:rFonts w:eastAsia="宋体" w:ascii="宋体" w:hAnsi="宋体"/>
          <w:b w:val="false"/>
          <w:i w:val="false"/>
          <w:caps w:val="false"/>
          <w:smallCaps w:val="false"/>
          <w:color w:val="CBC6C0"/>
          <w:spacing w:val="0"/>
          <w:sz w:val="24"/>
        </w:rPr>
        <w:t>.stl</w:t>
      </w:r>
      <w:r>
        <w:rPr>
          <w:rFonts w:ascii="宋体" w:hAnsi="宋体" w:eastAsia="宋体"/>
          <w:b w:val="false"/>
          <w:i w:val="false"/>
          <w:caps w:val="false"/>
          <w:smallCaps w:val="false"/>
          <w:color w:val="CBC6C0"/>
          <w:spacing w:val="0"/>
          <w:sz w:val="24"/>
        </w:rPr>
        <w:t>格式的三维模型导入到有限元分析软件</w:t>
      </w:r>
      <w:r>
        <w:rPr>
          <w:rFonts w:eastAsia="宋体" w:ascii="宋体" w:hAnsi="宋体"/>
          <w:b w:val="false"/>
          <w:i w:val="false"/>
          <w:caps w:val="false"/>
          <w:smallCaps w:val="false"/>
          <w:color w:val="CBC6C0"/>
          <w:spacing w:val="0"/>
          <w:sz w:val="24"/>
        </w:rPr>
        <w:t>Ansys 2021R</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ANSYS</w:t>
      </w:r>
      <w:r>
        <w:rPr>
          <w:rFonts w:ascii="宋体" w:hAnsi="宋体" w:eastAsia="宋体"/>
          <w:b w:val="false"/>
          <w:i w:val="false"/>
          <w:caps w:val="false"/>
          <w:smallCaps w:val="false"/>
          <w:color w:val="CBC6C0"/>
          <w:spacing w:val="0"/>
          <w:sz w:val="24"/>
        </w:rPr>
        <w:t>，美国）的</w:t>
      </w:r>
      <w:r>
        <w:rPr>
          <w:rFonts w:eastAsia="宋体" w:ascii="宋体" w:hAnsi="宋体"/>
          <w:b w:val="false"/>
          <w:i w:val="false"/>
          <w:caps w:val="false"/>
          <w:smallCaps w:val="false"/>
          <w:color w:val="CBC6C0"/>
          <w:spacing w:val="0"/>
          <w:sz w:val="24"/>
        </w:rPr>
        <w:t>SpaceClaim</w:t>
      </w:r>
      <w:r>
        <w:rPr>
          <w:rFonts w:ascii="宋体" w:hAnsi="宋体" w:eastAsia="宋体"/>
          <w:b w:val="false"/>
          <w:i w:val="false"/>
          <w:caps w:val="false"/>
          <w:smallCaps w:val="false"/>
          <w:color w:val="CBC6C0"/>
          <w:spacing w:val="0"/>
          <w:sz w:val="24"/>
        </w:rPr>
        <w:t>子模块中，</w:t>
      </w:r>
      <w:r>
        <w:rPr>
          <w:rFonts w:eastAsia="宋体" w:ascii="宋体" w:hAnsi="宋体"/>
          <w:b w:val="false"/>
          <w:i w:val="false"/>
          <w:caps w:val="false"/>
          <w:smallCaps w:val="false"/>
          <w:color w:val="CBC6C0"/>
          <w:spacing w:val="0"/>
          <w:sz w:val="24"/>
        </w:rPr>
        <w:t>AutoSkin</w:t>
      </w:r>
      <w:r>
        <w:rPr>
          <w:rFonts w:ascii="宋体" w:hAnsi="宋体" w:eastAsia="宋体"/>
          <w:b w:val="false"/>
          <w:i w:val="false"/>
          <w:caps w:val="false"/>
          <w:smallCaps w:val="false"/>
          <w:color w:val="CBC6C0"/>
          <w:spacing w:val="0"/>
          <w:sz w:val="24"/>
        </w:rPr>
        <w:t>功能可以将三维模型的壳体转化为实体。牙周膜设置为</w:t>
      </w:r>
      <w:r>
        <w:rPr>
          <w:rFonts w:eastAsia="宋体" w:ascii="宋体" w:hAnsi="宋体"/>
          <w:b w:val="false"/>
          <w:i w:val="false"/>
          <w:caps w:val="false"/>
          <w:smallCaps w:val="false"/>
          <w:color w:val="CBC6C0"/>
          <w:spacing w:val="0"/>
          <w:sz w:val="24"/>
        </w:rPr>
        <w:t>0.25mm</w:t>
      </w:r>
      <w:r>
        <w:rPr>
          <w:rFonts w:ascii="宋体" w:hAnsi="宋体" w:eastAsia="宋体"/>
          <w:b w:val="false"/>
          <w:i w:val="false"/>
          <w:caps w:val="false"/>
          <w:smallCaps w:val="false"/>
          <w:color w:val="CBC6C0"/>
          <w:spacing w:val="0"/>
          <w:sz w:val="24"/>
        </w:rPr>
        <w:t>厚的均质牙周膜。皮质骨、松质骨、牙槽窝、牙周膜的有限元模型均通过组合功能实现。设置一条Ⅰ类下颌升支骨折线，并在骨折线两端采用微钛板进行固定，本研究使用强生公司四孔微钛板，双微钛板之间设置初始间距</w:t>
      </w:r>
      <w:r>
        <w:rPr>
          <w:rFonts w:eastAsia="宋体" w:ascii="宋体" w:hAnsi="宋体"/>
          <w:b w:val="false"/>
          <w:i w:val="false"/>
          <w:caps w:val="false"/>
          <w:smallCaps w:val="false"/>
          <w:color w:val="CBC6C0"/>
          <w:spacing w:val="0"/>
          <w:sz w:val="24"/>
        </w:rPr>
        <w:t>2mm</w:t>
      </w:r>
      <w:r>
        <w:rPr>
          <w:rFonts w:ascii="宋体" w:hAnsi="宋体" w:eastAsia="宋体"/>
          <w:b w:val="false"/>
          <w:i w:val="false"/>
          <w:caps w:val="false"/>
          <w:smallCaps w:val="false"/>
          <w:color w:val="CBC6C0"/>
          <w:spacing w:val="0"/>
          <w:sz w:val="24"/>
        </w:rPr>
        <w:t>，以</w:t>
      </w:r>
      <w:r>
        <w:rPr>
          <w:rFonts w:eastAsia="宋体" w:ascii="宋体" w:hAnsi="宋体"/>
          <w:b w:val="false"/>
          <w:i w:val="false"/>
          <w:caps w:val="false"/>
          <w:smallCaps w:val="false"/>
          <w:color w:val="CBC6C0"/>
          <w:spacing w:val="0"/>
          <w:sz w:val="24"/>
        </w:rPr>
        <w:t>1mm</w:t>
      </w:r>
      <w:r>
        <w:rPr>
          <w:rFonts w:ascii="宋体" w:hAnsi="宋体" w:eastAsia="宋体"/>
          <w:b w:val="false"/>
          <w:i w:val="false"/>
          <w:caps w:val="false"/>
          <w:smallCaps w:val="false"/>
          <w:color w:val="CBC6C0"/>
          <w:spacing w:val="0"/>
          <w:sz w:val="24"/>
        </w:rPr>
        <w:t>为步长，逐渐增加两微钛板之间的间距，直至</w:t>
      </w:r>
      <w:r>
        <w:rPr>
          <w:rFonts w:eastAsia="宋体" w:ascii="宋体" w:hAnsi="宋体"/>
          <w:b w:val="false"/>
          <w:i w:val="false"/>
          <w:caps w:val="false"/>
          <w:smallCaps w:val="false"/>
          <w:color w:val="CBC6C0"/>
          <w:spacing w:val="0"/>
          <w:sz w:val="24"/>
        </w:rPr>
        <w:t>23mm(</w:t>
      </w:r>
      <w:r>
        <w:rPr>
          <w:rFonts w:ascii="宋体" w:hAnsi="宋体" w:eastAsia="宋体"/>
          <w:b w:val="false"/>
          <w:i w:val="false"/>
          <w:caps w:val="false"/>
          <w:smallCaps w:val="false"/>
          <w:color w:val="CBC6C0"/>
          <w:spacing w:val="0"/>
          <w:sz w:val="24"/>
        </w:rPr>
        <w:t>图</w:t>
      </w:r>
      <w:r>
        <w:rPr>
          <w:rFonts w:eastAsia="宋体" w:ascii="宋体" w:hAnsi="宋体"/>
          <w:b w:val="false"/>
          <w:i w:val="false"/>
          <w:caps w:val="false"/>
          <w:smallCaps w:val="false"/>
          <w:color w:val="CBC6C0"/>
          <w:spacing w:val="0"/>
          <w:sz w:val="24"/>
        </w:rPr>
        <w:t>1)</w:t>
      </w:r>
      <w:r>
        <w:rPr>
          <w:rFonts w:ascii="宋体" w:hAnsi="宋体" w:eastAsia="宋体"/>
          <w:b w:val="false"/>
          <w:i w:val="false"/>
          <w:caps w:val="false"/>
          <w:smallCaps w:val="false"/>
          <w:color w:val="CBC6C0"/>
          <w:spacing w:val="0"/>
          <w:sz w:val="24"/>
        </w:rPr>
        <w:t>。</w:t>
      </w:r>
    </w:p>
    <w:p>
      <w:pPr>
        <w:pStyle w:val="BodyText"/>
        <w:widowControl/>
        <w:bidi w:val="0"/>
        <w:spacing w:before="0" w:after="240"/>
        <w:ind w:hanging="0" w:left="0" w:right="0"/>
        <w:jc w:val="left"/>
        <w:rPr>
          <w:rFonts w:ascii="宋体" w:hAnsi="宋体" w:eastAsia="宋体"/>
        </w:rPr>
      </w:pPr>
      <w:r>
        <w:rPr>
          <w:rFonts w:eastAsia="宋体" w:ascii="宋体" w:hAnsi="宋体"/>
          <w:b w:val="false"/>
          <w:i w:val="false"/>
          <w:caps w:val="false"/>
          <w:smallCaps w:val="false"/>
          <w:color w:val="CBC6C0"/>
          <w:spacing w:val="0"/>
          <w:sz w:val="24"/>
        </w:rPr>
        <w:t xml:space="preserve">1.3 </w:t>
      </w:r>
      <w:r>
        <w:rPr>
          <w:rFonts w:ascii="宋体" w:hAnsi="宋体" w:eastAsia="宋体"/>
          <w:b w:val="false"/>
          <w:i w:val="false"/>
          <w:caps w:val="false"/>
          <w:smallCaps w:val="false"/>
          <w:color w:val="CBC6C0"/>
          <w:spacing w:val="0"/>
          <w:sz w:val="24"/>
        </w:rPr>
        <w:t>有限元分析</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设定模型各部分的材料参数、网格大小、边界条件并建立参考坐标系，最后施加载荷求解等定向位移。材料属性的赋予参考既往研究所使用的参数</w:t>
      </w:r>
      <w:r>
        <w:rPr>
          <w:rFonts w:eastAsia="宋体" w:ascii="宋体" w:hAnsi="宋体"/>
          <w:b w:val="false"/>
          <w:i w:val="false"/>
          <w:caps w:val="false"/>
          <w:smallCaps w:val="false"/>
          <w:color w:val="CBC6C0"/>
          <w:spacing w:val="0"/>
          <w:sz w:val="24"/>
        </w:rPr>
        <w:t>[11, 12]</w:t>
      </w:r>
      <w:r>
        <w:rPr>
          <w:rFonts w:ascii="宋体" w:hAnsi="宋体" w:eastAsia="宋体"/>
          <w:b w:val="false"/>
          <w:i w:val="false"/>
          <w:caps w:val="false"/>
          <w:smallCaps w:val="false"/>
          <w:color w:val="CBC6C0"/>
          <w:spacing w:val="0"/>
          <w:sz w:val="24"/>
        </w:rPr>
        <w:t>（表</w:t>
      </w:r>
      <w:r>
        <w:rPr>
          <w:rFonts w:eastAsia="宋体" w:ascii="宋体" w:hAnsi="宋体"/>
          <w:b w:val="false"/>
          <w:i w:val="false"/>
          <w:caps w:val="false"/>
          <w:smallCaps w:val="false"/>
          <w:color w:val="CBC6C0"/>
          <w:spacing w:val="0"/>
          <w:sz w:val="24"/>
        </w:rPr>
        <w:t>1</w:t>
      </w:r>
      <w:r>
        <w:rPr>
          <w:rFonts w:ascii="宋体" w:hAnsi="宋体" w:eastAsia="宋体"/>
          <w:b w:val="false"/>
          <w:i w:val="false"/>
          <w:caps w:val="false"/>
          <w:smallCaps w:val="false"/>
          <w:color w:val="CBC6C0"/>
          <w:spacing w:val="0"/>
          <w:sz w:val="24"/>
        </w:rPr>
        <w:t>），为线性弹性各向同性均质材料。将下颌骨髁突做固定约束，牙、牙周膜及下颌骨之间设置为固定接触，两骨折块间设置为摩擦接触，摩擦参数为</w:t>
      </w:r>
      <w:r>
        <w:rPr>
          <w:rFonts w:eastAsia="宋体" w:ascii="宋体" w:hAnsi="宋体"/>
          <w:b w:val="false"/>
          <w:i w:val="false"/>
          <w:caps w:val="false"/>
          <w:smallCaps w:val="false"/>
          <w:color w:val="CBC6C0"/>
          <w:spacing w:val="0"/>
          <w:sz w:val="24"/>
        </w:rPr>
        <w:t>0.3</w:t>
      </w:r>
      <w:r>
        <w:rPr>
          <w:rFonts w:ascii="宋体" w:hAnsi="宋体" w:eastAsia="宋体"/>
          <w:b w:val="false"/>
          <w:i w:val="false"/>
          <w:caps w:val="false"/>
          <w:smallCaps w:val="false"/>
          <w:color w:val="CBC6C0"/>
          <w:spacing w:val="0"/>
          <w:sz w:val="24"/>
        </w:rPr>
        <w:t>，设置垂直于下颌骨及垂直于骨折线的两组坐标系，作为施加载荷及求解相对位移的坐标系，在双侧下颌第一磨牙施加</w:t>
      </w:r>
      <w:r>
        <w:rPr>
          <w:rFonts w:eastAsia="宋体" w:ascii="宋体" w:hAnsi="宋体"/>
          <w:b w:val="false"/>
          <w:i w:val="false"/>
          <w:caps w:val="false"/>
          <w:smallCaps w:val="false"/>
          <w:color w:val="CBC6C0"/>
          <w:spacing w:val="0"/>
          <w:sz w:val="24"/>
        </w:rPr>
        <w:t>290N</w:t>
      </w:r>
      <w:r>
        <w:rPr>
          <w:rFonts w:ascii="宋体" w:hAnsi="宋体" w:eastAsia="宋体"/>
          <w:b w:val="false"/>
          <w:i w:val="false"/>
          <w:caps w:val="false"/>
          <w:smallCaps w:val="false"/>
          <w:color w:val="CBC6C0"/>
          <w:spacing w:val="0"/>
          <w:sz w:val="24"/>
        </w:rPr>
        <w:t>的咬合力</w:t>
      </w:r>
      <w:r>
        <w:rPr>
          <w:rFonts w:eastAsia="宋体" w:ascii="宋体" w:hAnsi="宋体"/>
          <w:b w:val="false"/>
          <w:i w:val="false"/>
          <w:caps w:val="false"/>
          <w:smallCaps w:val="false"/>
          <w:color w:val="CBC6C0"/>
          <w:spacing w:val="0"/>
          <w:sz w:val="24"/>
        </w:rPr>
        <w:t>[13]</w:t>
      </w:r>
      <w:r>
        <w:rPr>
          <w:rFonts w:ascii="宋体" w:hAnsi="宋体" w:eastAsia="宋体"/>
          <w:b w:val="false"/>
          <w:i w:val="false"/>
          <w:caps w:val="false"/>
          <w:smallCaps w:val="false"/>
          <w:color w:val="CBC6C0"/>
          <w:spacing w:val="0"/>
          <w:sz w:val="24"/>
        </w:rPr>
        <w:t>（图</w:t>
      </w:r>
      <w:r>
        <w:rPr>
          <w:rFonts w:eastAsia="宋体" w:ascii="宋体" w:hAnsi="宋体"/>
          <w:b w:val="false"/>
          <w:i w:val="false"/>
          <w:caps w:val="false"/>
          <w:smallCaps w:val="false"/>
          <w:color w:val="CBC6C0"/>
          <w:spacing w:val="0"/>
          <w:sz w:val="24"/>
        </w:rPr>
        <w:t>2</w:t>
      </w:r>
      <w:r>
        <w:rPr>
          <w:rFonts w:ascii="宋体" w:hAnsi="宋体" w:eastAsia="宋体"/>
          <w:b w:val="false"/>
          <w:i w:val="false"/>
          <w:caps w:val="false"/>
          <w:smallCaps w:val="false"/>
          <w:color w:val="CBC6C0"/>
          <w:spacing w:val="0"/>
          <w:sz w:val="24"/>
        </w:rPr>
        <w:t>），并评估两骨折块之间的相对位移。</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结果</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在两微钛板间距逐渐增加时，相对位移逐渐减少，在间距为</w:t>
      </w:r>
      <w:r>
        <w:rPr>
          <w:rFonts w:eastAsia="宋体" w:ascii="宋体" w:hAnsi="宋体"/>
          <w:b w:val="false"/>
          <w:i w:val="false"/>
          <w:caps w:val="false"/>
          <w:smallCaps w:val="false"/>
          <w:color w:val="CBC6C0"/>
          <w:spacing w:val="0"/>
          <w:sz w:val="24"/>
        </w:rPr>
        <w:t>20cm</w:t>
      </w:r>
      <w:r>
        <w:rPr>
          <w:rFonts w:ascii="宋体" w:hAnsi="宋体" w:eastAsia="宋体"/>
          <w:b w:val="false"/>
          <w:i w:val="false"/>
          <w:caps w:val="false"/>
          <w:smallCaps w:val="false"/>
          <w:color w:val="CBC6C0"/>
          <w:spacing w:val="0"/>
          <w:sz w:val="24"/>
        </w:rPr>
        <w:t>时，相对位移为</w:t>
      </w:r>
      <w:r>
        <w:rPr>
          <w:rFonts w:eastAsia="宋体" w:ascii="宋体" w:hAnsi="宋体"/>
          <w:b w:val="false"/>
          <w:i w:val="false"/>
          <w:caps w:val="false"/>
          <w:smallCaps w:val="false"/>
          <w:color w:val="CBC6C0"/>
          <w:spacing w:val="0"/>
          <w:sz w:val="24"/>
        </w:rPr>
        <w:t>0.105789mm</w:t>
      </w:r>
      <w:r>
        <w:rPr>
          <w:rFonts w:ascii="宋体" w:hAnsi="宋体" w:eastAsia="宋体"/>
          <w:b w:val="false"/>
          <w:i w:val="false"/>
          <w:caps w:val="false"/>
          <w:smallCaps w:val="false"/>
          <w:color w:val="CBC6C0"/>
          <w:spacing w:val="0"/>
          <w:sz w:val="24"/>
        </w:rPr>
        <w:t>可以达到一期愈合的效果（表）。</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讨论：</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widowControl/>
        <w:bidi w:val="0"/>
        <w:spacing w:before="0" w:after="240"/>
        <w:ind w:hanging="0" w:left="0" w:right="0"/>
        <w:jc w:val="left"/>
        <w:rPr>
          <w:rFonts w:ascii="宋体" w:hAnsi="宋体" w:eastAsia="宋体"/>
        </w:rPr>
      </w:pPr>
      <w:r>
        <w:rPr>
          <w:rFonts w:eastAsia="宋体" w:ascii="宋体" w:hAnsi="宋体"/>
          <w:b w:val="false"/>
          <w:i w:val="false"/>
          <w:caps w:val="false"/>
          <w:smallCaps w:val="false"/>
          <w:color w:val="CBC6C0"/>
          <w:spacing w:val="0"/>
          <w:sz w:val="24"/>
        </w:rPr>
        <w:t xml:space="preserve">Agarwal[14] </w:t>
      </w:r>
      <w:r>
        <w:rPr>
          <w:rFonts w:ascii="宋体" w:hAnsi="宋体" w:eastAsia="宋体"/>
          <w:b w:val="false"/>
          <w:i w:val="false"/>
          <w:caps w:val="false"/>
          <w:smallCaps w:val="false"/>
          <w:color w:val="CBC6C0"/>
          <w:spacing w:val="0"/>
          <w:sz w:val="24"/>
        </w:rPr>
        <w:t>将下颌升支骨折分为</w:t>
      </w:r>
      <w:r>
        <w:rPr>
          <w:rFonts w:eastAsia="宋体" w:ascii="宋体" w:hAnsi="宋体"/>
          <w:b w:val="false"/>
          <w:i w:val="false"/>
          <w:caps w:val="false"/>
          <w:smallCaps w:val="false"/>
          <w:color w:val="CBC6C0"/>
          <w:spacing w:val="0"/>
          <w:sz w:val="24"/>
        </w:rPr>
        <w:t>5</w:t>
      </w:r>
      <w:r>
        <w:rPr>
          <w:rFonts w:ascii="宋体" w:hAnsi="宋体" w:eastAsia="宋体"/>
          <w:b w:val="false"/>
          <w:i w:val="false"/>
          <w:caps w:val="false"/>
          <w:smallCaps w:val="false"/>
          <w:color w:val="CBC6C0"/>
          <w:spacing w:val="0"/>
          <w:sz w:val="24"/>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rFonts w:eastAsia="宋体" w:ascii="宋体" w:hAnsi="宋体"/>
          <w:b w:val="false"/>
          <w:i w:val="false"/>
          <w:caps w:val="false"/>
          <w:smallCaps w:val="false"/>
          <w:color w:val="CBC6C0"/>
          <w:spacing w:val="0"/>
          <w:sz w:val="24"/>
        </w:rPr>
        <w:t>48.5%</w:t>
      </w:r>
      <w:r>
        <w:rPr>
          <w:rFonts w:ascii="宋体" w:hAnsi="宋体" w:eastAsia="宋体"/>
          <w:b w:val="false"/>
          <w:i w:val="false"/>
          <w:caps w:val="false"/>
          <w:smallCaps w:val="false"/>
          <w:color w:val="CBC6C0"/>
          <w:spacing w:val="0"/>
          <w:sz w:val="24"/>
        </w:rPr>
        <w:t>，故本研究设置为最常见的Ⅰ型骨折线</w:t>
      </w:r>
      <w:r>
        <w:rPr>
          <w:rFonts w:eastAsia="宋体" w:ascii="宋体" w:hAnsi="宋体"/>
          <w:b w:val="false"/>
          <w:i w:val="false"/>
          <w:caps w:val="false"/>
          <w:smallCaps w:val="false"/>
          <w:color w:val="CBC6C0"/>
          <w:spacing w:val="0"/>
          <w:sz w:val="24"/>
        </w:rPr>
        <w:t>[15, 16]</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ORIF</w:t>
      </w:r>
      <w:r>
        <w:rPr>
          <w:rFonts w:ascii="宋体" w:hAnsi="宋体" w:eastAsia="宋体"/>
          <w:b w:val="false"/>
          <w:i w:val="false"/>
          <w:caps w:val="false"/>
          <w:smallCaps w:val="false"/>
          <w:color w:val="CBC6C0"/>
          <w:spacing w:val="0"/>
          <w:sz w:val="24"/>
        </w:rPr>
        <w:t>是颌面部骨折常用的治疗方式，有可以对骨折进行功能性及解剖性复位；患者可以早期行使功能，便于早期维护口腔卫生等优点。故在临床工作中，选择使用</w:t>
      </w:r>
      <w:r>
        <w:rPr>
          <w:rFonts w:eastAsia="宋体" w:ascii="宋体" w:hAnsi="宋体"/>
          <w:b w:val="false"/>
          <w:i w:val="false"/>
          <w:caps w:val="false"/>
          <w:smallCaps w:val="false"/>
          <w:color w:val="CBC6C0"/>
          <w:spacing w:val="0"/>
          <w:sz w:val="24"/>
        </w:rPr>
        <w:t>ORIF</w:t>
      </w:r>
      <w:r>
        <w:rPr>
          <w:rFonts w:ascii="宋体" w:hAnsi="宋体" w:eastAsia="宋体"/>
          <w:b w:val="false"/>
          <w:i w:val="false"/>
          <w:caps w:val="false"/>
          <w:smallCaps w:val="false"/>
          <w:color w:val="CBC6C0"/>
          <w:spacing w:val="0"/>
          <w:sz w:val="24"/>
        </w:rPr>
        <w:t>手术方法的占比较大</w:t>
      </w:r>
      <w:r>
        <w:rPr>
          <w:rFonts w:eastAsia="宋体" w:ascii="宋体" w:hAnsi="宋体"/>
          <w:b w:val="false"/>
          <w:i w:val="false"/>
          <w:caps w:val="false"/>
          <w:smallCaps w:val="false"/>
          <w:color w:val="CBC6C0"/>
          <w:spacing w:val="0"/>
          <w:sz w:val="24"/>
        </w:rPr>
        <w:t>[14]</w:t>
      </w:r>
      <w:r>
        <w:rPr>
          <w:rFonts w:ascii="宋体" w:hAnsi="宋体" w:eastAsia="宋体"/>
          <w:b w:val="false"/>
          <w:i w:val="false"/>
          <w:caps w:val="false"/>
          <w:smallCaps w:val="false"/>
          <w:color w:val="CBC6C0"/>
          <w:spacing w:val="0"/>
          <w:sz w:val="24"/>
        </w:rPr>
        <w:t>。 </w:t>
      </w:r>
      <w:r>
        <w:rPr>
          <w:rStyle w:val="Emphasis"/>
          <w:rFonts w:ascii="宋体" w:hAnsi="宋体" w:eastAsia="宋体"/>
          <w:b w:val="false"/>
          <w:i w:val="false"/>
          <w:caps w:val="false"/>
          <w:smallCaps w:val="false"/>
          <w:color w:val="CBC6C0"/>
          <w:spacing w:val="0"/>
          <w:sz w:val="24"/>
        </w:rPr>
        <w:t>展开</w:t>
      </w:r>
    </w:p>
    <w:p>
      <w:pPr>
        <w:pStyle w:val="BodyText"/>
        <w:widowControl/>
        <w:bidi w:val="0"/>
        <w:spacing w:before="0" w:after="240"/>
        <w:ind w:hanging="0" w:left="0" w:right="0"/>
        <w:jc w:val="left"/>
        <w:rPr>
          <w:rFonts w:ascii="宋体" w:hAnsi="宋体" w:eastAsia="宋体"/>
        </w:rPr>
      </w:pPr>
      <w:r>
        <w:rPr>
          <w:rFonts w:eastAsia="宋体" w:ascii="宋体" w:hAnsi="宋体"/>
          <w:b w:val="false"/>
          <w:i w:val="false"/>
          <w:caps w:val="false"/>
          <w:smallCaps w:val="false"/>
          <w:color w:val="CBC6C0"/>
          <w:spacing w:val="0"/>
          <w:sz w:val="24"/>
        </w:rPr>
        <w:t>Champy[17, 18]</w:t>
      </w:r>
      <w:r>
        <w:rPr>
          <w:rFonts w:ascii="宋体" w:hAnsi="宋体" w:eastAsia="宋体"/>
          <w:b w:val="false"/>
          <w:i w:val="false"/>
          <w:caps w:val="false"/>
          <w:smallCaps w:val="false"/>
          <w:color w:val="CBC6C0"/>
          <w:spacing w:val="0"/>
          <w:sz w:val="24"/>
        </w:rPr>
        <w:t>首次提出了下颌角处张力带的概念，即在行使咬合功能时，骨折线上部因为咬合力的原因，会产生较大位移，为张力带，而下部会产生压缩作用，产生位移较小，为压力带，</w:t>
      </w:r>
      <w:r>
        <w:rPr>
          <w:rFonts w:eastAsia="宋体" w:ascii="宋体" w:hAnsi="宋体"/>
          <w:b w:val="false"/>
          <w:i w:val="false"/>
          <w:caps w:val="false"/>
          <w:smallCaps w:val="false"/>
          <w:color w:val="CBC6C0"/>
          <w:spacing w:val="0"/>
          <w:sz w:val="24"/>
        </w:rPr>
        <w:t>Champy</w:t>
      </w:r>
      <w:r>
        <w:rPr>
          <w:rFonts w:ascii="宋体" w:hAnsi="宋体" w:eastAsia="宋体"/>
          <w:b w:val="false"/>
          <w:i w:val="false"/>
          <w:caps w:val="false"/>
          <w:smallCaps w:val="false"/>
          <w:color w:val="CBC6C0"/>
          <w:spacing w:val="0"/>
          <w:sz w:val="24"/>
        </w:rPr>
        <w:t>在其研究中阐述了下颌角骨折的理想固定路线，由于压力带在下颌骨行使咬合功能时会被压缩，所以固定张力带便可达到理想的固定效果。下颌升支骨折不同于下颌角骨折，Ⅰ类下颌升支骨折骨折线线较长，由上至下贯穿整个下颌升支，由文献指出</w:t>
      </w:r>
      <w:r>
        <w:rPr>
          <w:rFonts w:eastAsia="宋体" w:ascii="宋体" w:hAnsi="宋体"/>
          <w:b w:val="false"/>
          <w:i w:val="false"/>
          <w:caps w:val="false"/>
          <w:smallCaps w:val="false"/>
          <w:color w:val="CBC6C0"/>
          <w:spacing w:val="0"/>
          <w:sz w:val="24"/>
        </w:rPr>
        <w:t>[14]</w:t>
      </w:r>
      <w:r>
        <w:rPr>
          <w:rFonts w:ascii="宋体" w:hAnsi="宋体" w:eastAsia="宋体"/>
          <w:b w:val="false"/>
          <w:i w:val="false"/>
          <w:caps w:val="false"/>
          <w:smallCaps w:val="false"/>
          <w:color w:val="CBC6C0"/>
          <w:spacing w:val="0"/>
          <w:sz w:val="24"/>
        </w:rPr>
        <w:t>下颌升支骨折需采用两点固定法进行固定，才能达到稳定的固定效果。故本研究设置双微钛板对骨折进行固定，根据本课题组的预实验，下颌升支</w:t>
      </w:r>
      <w:r>
        <w:rPr>
          <w:rFonts w:eastAsia="宋体" w:ascii="宋体" w:hAnsi="宋体"/>
          <w:b w:val="false"/>
          <w:i w:val="false"/>
          <w:caps w:val="false"/>
          <w:smallCaps w:val="false"/>
          <w:color w:val="CBC6C0"/>
          <w:spacing w:val="0"/>
          <w:sz w:val="24"/>
        </w:rPr>
        <w:t>1</w:t>
      </w:r>
      <w:r>
        <w:rPr>
          <w:rFonts w:ascii="宋体" w:hAnsi="宋体" w:eastAsia="宋体"/>
          <w:b w:val="false"/>
          <w:i w:val="false"/>
          <w:caps w:val="false"/>
          <w:smallCaps w:val="false"/>
          <w:color w:val="CBC6C0"/>
          <w:spacing w:val="0"/>
          <w:sz w:val="24"/>
        </w:rPr>
        <w:t>型骨折线在行使咬合功能时，乙状切迹处位移最大，故张力带位于乙状切迹处，所以第一块微型钛板放置于下颌升支上缘乙状切迹处，另一块固定在下颌升支下缘部分，接近下颌角区。</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w:t>
      </w:r>
      <w:r>
        <w:rPr>
          <w:rFonts w:eastAsia="宋体" w:ascii="宋体" w:hAnsi="宋体"/>
          <w:b w:val="false"/>
          <w:i w:val="false"/>
          <w:caps w:val="false"/>
          <w:smallCaps w:val="false"/>
          <w:color w:val="CBC6C0"/>
          <w:spacing w:val="0"/>
          <w:sz w:val="24"/>
        </w:rPr>
        <w:t>xl</w:t>
      </w:r>
      <w:r>
        <w:rPr>
          <w:rFonts w:ascii="宋体" w:hAnsi="宋体" w:eastAsia="宋体"/>
          <w:b w:val="false"/>
          <w:i w:val="false"/>
          <w:caps w:val="false"/>
          <w:smallCaps w:val="false"/>
          <w:color w:val="CBC6C0"/>
          <w:spacing w:val="0"/>
          <w:sz w:val="24"/>
        </w:rPr>
        <w:t>等并发症，并会严重影响术后的美观程度，如何尽可能的减小手术切口的同时，并达到稳定的固定效果是临床中的难点。 </w:t>
      </w:r>
      <w:r>
        <w:rPr>
          <w:rStyle w:val="Emphasis"/>
          <w:rFonts w:ascii="宋体" w:hAnsi="宋体" w:eastAsia="宋体"/>
          <w:b w:val="false"/>
          <w:i w:val="false"/>
          <w:caps w:val="false"/>
          <w:smallCaps w:val="false"/>
          <w:color w:val="CBC6C0"/>
          <w:spacing w:val="0"/>
          <w:sz w:val="24"/>
        </w:rPr>
        <w:t>文献引用</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下颌升支骨折的治疗中，可以选择多种手术入路，如下颌下入路</w:t>
      </w:r>
      <w:r>
        <w:rPr>
          <w:rFonts w:eastAsia="宋体" w:ascii="宋体" w:hAnsi="宋体"/>
          <w:b w:val="false"/>
          <w:i w:val="false"/>
          <w:caps w:val="false"/>
          <w:smallCaps w:val="false"/>
          <w:color w:val="CBC6C0"/>
          <w:spacing w:val="0"/>
          <w:sz w:val="24"/>
        </w:rPr>
        <w:t>(Risdon</w:t>
      </w:r>
      <w:r>
        <w:rPr>
          <w:rFonts w:ascii="宋体" w:hAnsi="宋体" w:eastAsia="宋体"/>
          <w:b w:val="false"/>
          <w:i w:val="false"/>
          <w:caps w:val="false"/>
          <w:smallCaps w:val="false"/>
          <w:color w:val="CBC6C0"/>
          <w:spacing w:val="0"/>
          <w:sz w:val="24"/>
        </w:rPr>
        <w:t>入路</w:t>
      </w:r>
      <w:r>
        <w:rPr>
          <w:rFonts w:eastAsia="宋体" w:ascii="宋体" w:hAnsi="宋体"/>
          <w:b w:val="false"/>
          <w:i w:val="false"/>
          <w:caps w:val="false"/>
          <w:smallCaps w:val="false"/>
          <w:color w:val="CBC6C0"/>
          <w:spacing w:val="0"/>
          <w:sz w:val="24"/>
        </w:rPr>
        <w:t>)</w:t>
      </w:r>
      <w:r>
        <w:rPr>
          <w:rFonts w:ascii="宋体" w:hAnsi="宋体" w:eastAsia="宋体"/>
          <w:b w:val="false"/>
          <w:i w:val="false"/>
          <w:caps w:val="false"/>
          <w:smallCaps w:val="false"/>
          <w:color w:val="CBC6C0"/>
          <w:spacing w:val="0"/>
          <w:sz w:val="24"/>
        </w:rPr>
        <w:t>，下颌后经咬肌入路及下颌后经腮腺入路</w:t>
      </w:r>
      <w:r>
        <w:rPr>
          <w:rFonts w:eastAsia="宋体" w:ascii="宋体" w:hAnsi="宋体"/>
          <w:b w:val="false"/>
          <w:i w:val="false"/>
          <w:caps w:val="false"/>
          <w:smallCaps w:val="false"/>
          <w:color w:val="CBC6C0"/>
          <w:spacing w:val="0"/>
          <w:sz w:val="24"/>
        </w:rPr>
        <w:t>[14]</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Hinds[20]</w:t>
      </w:r>
      <w:r>
        <w:rPr>
          <w:rFonts w:ascii="宋体" w:hAnsi="宋体" w:eastAsia="宋体"/>
          <w:b w:val="false"/>
          <w:i w:val="false"/>
          <w:caps w:val="false"/>
          <w:smallCaps w:val="false"/>
          <w:color w:val="CBC6C0"/>
          <w:spacing w:val="0"/>
          <w:sz w:val="24"/>
        </w:rPr>
        <w:t>在</w:t>
      </w:r>
      <w:r>
        <w:rPr>
          <w:rFonts w:eastAsia="宋体" w:ascii="宋体" w:hAnsi="宋体"/>
          <w:b w:val="false"/>
          <w:i w:val="false"/>
          <w:caps w:val="false"/>
          <w:smallCaps w:val="false"/>
          <w:color w:val="CBC6C0"/>
          <w:spacing w:val="0"/>
          <w:sz w:val="24"/>
        </w:rPr>
        <w:t>1967</w:t>
      </w:r>
      <w:r>
        <w:rPr>
          <w:rFonts w:ascii="宋体" w:hAnsi="宋体" w:eastAsia="宋体"/>
          <w:b w:val="false"/>
          <w:i w:val="false"/>
          <w:caps w:val="false"/>
          <w:smallCaps w:val="false"/>
          <w:color w:val="CBC6C0"/>
          <w:spacing w:val="0"/>
          <w:sz w:val="24"/>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rFonts w:eastAsia="宋体" w:ascii="宋体" w:hAnsi="宋体"/>
          <w:b w:val="false"/>
          <w:i w:val="false"/>
          <w:caps w:val="false"/>
          <w:smallCaps w:val="false"/>
          <w:color w:val="CBC6C0"/>
          <w:spacing w:val="0"/>
          <w:sz w:val="24"/>
        </w:rPr>
        <w:t>38%-40%</w:t>
      </w:r>
      <w:r>
        <w:rPr>
          <w:rFonts w:ascii="宋体" w:hAnsi="宋体" w:eastAsia="宋体"/>
          <w:b w:val="false"/>
          <w:i w:val="false"/>
          <w:caps w:val="false"/>
          <w:smallCaps w:val="false"/>
          <w:color w:val="CBC6C0"/>
          <w:spacing w:val="0"/>
          <w:sz w:val="24"/>
        </w:rPr>
        <w:t>，并有</w:t>
      </w:r>
      <w:r>
        <w:rPr>
          <w:rFonts w:eastAsia="宋体" w:ascii="宋体" w:hAnsi="宋体"/>
          <w:b w:val="false"/>
          <w:i w:val="false"/>
          <w:caps w:val="false"/>
          <w:smallCaps w:val="false"/>
          <w:color w:val="CBC6C0"/>
          <w:spacing w:val="0"/>
          <w:sz w:val="24"/>
        </w:rPr>
        <w:t>1%</w:t>
      </w:r>
      <w:r>
        <w:rPr>
          <w:rFonts w:ascii="宋体" w:hAnsi="宋体" w:eastAsia="宋体"/>
          <w:b w:val="false"/>
          <w:i w:val="false"/>
          <w:caps w:val="false"/>
          <w:smallCaps w:val="false"/>
          <w:color w:val="CBC6C0"/>
          <w:spacing w:val="0"/>
          <w:sz w:val="24"/>
        </w:rPr>
        <w:t>的病例会出现永久性面神经损伤的情况</w:t>
      </w:r>
      <w:r>
        <w:rPr>
          <w:rFonts w:eastAsia="宋体" w:ascii="宋体" w:hAnsi="宋体"/>
          <w:b w:val="false"/>
          <w:i w:val="false"/>
          <w:caps w:val="false"/>
          <w:smallCaps w:val="false"/>
          <w:color w:val="CBC6C0"/>
          <w:spacing w:val="0"/>
          <w:sz w:val="24"/>
        </w:rPr>
        <w:t>[21]</w:t>
      </w:r>
      <w:r>
        <w:rPr>
          <w:rFonts w:ascii="宋体" w:hAnsi="宋体" w:eastAsia="宋体"/>
          <w:b w:val="false"/>
          <w:i w:val="false"/>
          <w:caps w:val="false"/>
          <w:smallCaps w:val="false"/>
          <w:color w:val="CBC6C0"/>
          <w:spacing w:val="0"/>
          <w:sz w:val="24"/>
        </w:rPr>
        <w:t>。</w:t>
      </w:r>
      <w:r>
        <w:rPr>
          <w:rFonts w:eastAsia="宋体" w:ascii="宋体" w:hAnsi="宋体"/>
          <w:b w:val="false"/>
          <w:i w:val="false"/>
          <w:caps w:val="false"/>
          <w:smallCaps w:val="false"/>
          <w:color w:val="CBC6C0"/>
          <w:spacing w:val="0"/>
          <w:sz w:val="24"/>
        </w:rPr>
        <w:t>Risdon[22]</w:t>
      </w:r>
      <w:r>
        <w:rPr>
          <w:rFonts w:ascii="宋体" w:hAnsi="宋体" w:eastAsia="宋体"/>
          <w:b w:val="false"/>
          <w:i w:val="false"/>
          <w:caps w:val="false"/>
          <w:smallCaps w:val="false"/>
          <w:color w:val="CBC6C0"/>
          <w:spacing w:val="0"/>
          <w:sz w:val="24"/>
        </w:rPr>
        <w:t>首次描述了</w:t>
      </w:r>
      <w:r>
        <w:rPr>
          <w:rFonts w:eastAsia="宋体" w:ascii="宋体" w:hAnsi="宋体"/>
          <w:b w:val="false"/>
          <w:i w:val="false"/>
          <w:caps w:val="false"/>
          <w:smallCaps w:val="false"/>
          <w:color w:val="CBC6C0"/>
          <w:spacing w:val="0"/>
          <w:sz w:val="24"/>
        </w:rPr>
        <w:t>Risdon</w:t>
      </w:r>
      <w:r>
        <w:rPr>
          <w:rFonts w:ascii="宋体" w:hAnsi="宋体" w:eastAsia="宋体"/>
          <w:b w:val="false"/>
          <w:i w:val="false"/>
          <w:caps w:val="false"/>
          <w:smallCaps w:val="false"/>
          <w:color w:val="CBC6C0"/>
          <w:spacing w:val="0"/>
          <w:sz w:val="24"/>
        </w:rPr>
        <w:t>入路，后被</w:t>
      </w:r>
      <w:r>
        <w:rPr>
          <w:rFonts w:eastAsia="宋体" w:ascii="宋体" w:hAnsi="宋体"/>
          <w:b w:val="false"/>
          <w:i w:val="false"/>
          <w:caps w:val="false"/>
          <w:smallCaps w:val="false"/>
          <w:color w:val="CBC6C0"/>
          <w:spacing w:val="0"/>
          <w:sz w:val="24"/>
        </w:rPr>
        <w:t>Meyer[23]</w:t>
      </w:r>
      <w:r>
        <w:rPr>
          <w:rFonts w:ascii="宋体" w:hAnsi="宋体" w:eastAsia="宋体"/>
          <w:b w:val="false"/>
          <w:i w:val="false"/>
          <w:caps w:val="false"/>
          <w:smallCaps w:val="false"/>
          <w:color w:val="CBC6C0"/>
          <w:spacing w:val="0"/>
          <w:sz w:val="24"/>
        </w:rPr>
        <w:t>改良。此入路方式切口更加隐蔽，且不容易出现神经损伤的症状。</w:t>
      </w:r>
      <w:r>
        <w:rPr>
          <w:rFonts w:eastAsia="宋体" w:ascii="宋体" w:hAnsi="宋体"/>
          <w:b w:val="false"/>
          <w:i w:val="false"/>
          <w:caps w:val="false"/>
          <w:smallCaps w:val="false"/>
          <w:color w:val="CBC6C0"/>
          <w:spacing w:val="0"/>
          <w:sz w:val="24"/>
        </w:rPr>
        <w:t>Prabhu[24]</w:t>
      </w:r>
      <w:r>
        <w:rPr>
          <w:rFonts w:ascii="宋体" w:hAnsi="宋体" w:eastAsia="宋体"/>
          <w:b w:val="false"/>
          <w:i w:val="false"/>
          <w:caps w:val="false"/>
          <w:smallCaps w:val="false"/>
          <w:color w:val="CBC6C0"/>
          <w:spacing w:val="0"/>
          <w:sz w:val="24"/>
        </w:rPr>
        <w:t>发现使用</w:t>
      </w:r>
      <w:r>
        <w:rPr>
          <w:rFonts w:eastAsia="宋体" w:ascii="宋体" w:hAnsi="宋体"/>
          <w:b w:val="false"/>
          <w:i w:val="false"/>
          <w:caps w:val="false"/>
          <w:smallCaps w:val="false"/>
          <w:color w:val="CBC6C0"/>
          <w:spacing w:val="0"/>
          <w:sz w:val="24"/>
        </w:rPr>
        <w:t>Risdon</w:t>
      </w:r>
      <w:r>
        <w:rPr>
          <w:rFonts w:ascii="宋体" w:hAnsi="宋体" w:eastAsia="宋体"/>
          <w:b w:val="false"/>
          <w:i w:val="false"/>
          <w:caps w:val="false"/>
          <w:smallCaps w:val="false"/>
          <w:color w:val="CBC6C0"/>
          <w:spacing w:val="0"/>
          <w:sz w:val="24"/>
        </w:rPr>
        <w:t>入路方法时，仅有</w:t>
      </w:r>
      <w:r>
        <w:rPr>
          <w:rFonts w:eastAsia="宋体" w:ascii="宋体" w:hAnsi="宋体"/>
          <w:b w:val="false"/>
          <w:i w:val="false"/>
          <w:caps w:val="false"/>
          <w:smallCaps w:val="false"/>
          <w:color w:val="CBC6C0"/>
          <w:spacing w:val="0"/>
          <w:sz w:val="24"/>
        </w:rPr>
        <w:t>16.6%</w:t>
      </w:r>
      <w:r>
        <w:rPr>
          <w:rFonts w:ascii="宋体" w:hAnsi="宋体" w:eastAsia="宋体"/>
          <w:b w:val="false"/>
          <w:i w:val="false"/>
          <w:caps w:val="false"/>
          <w:smallCaps w:val="false"/>
          <w:color w:val="CBC6C0"/>
          <w:spacing w:val="0"/>
          <w:sz w:val="24"/>
        </w:rPr>
        <w:t>的病例出现了神经损伤的症状，</w:t>
      </w:r>
      <w:r>
        <w:rPr>
          <w:rFonts w:eastAsia="宋体" w:ascii="宋体" w:hAnsi="宋体"/>
          <w:b w:val="false"/>
          <w:i w:val="false"/>
          <w:caps w:val="false"/>
          <w:smallCaps w:val="false"/>
          <w:color w:val="CBC6C0"/>
          <w:spacing w:val="0"/>
          <w:sz w:val="24"/>
        </w:rPr>
        <w:t>Mehra[25]</w:t>
      </w:r>
      <w:r>
        <w:rPr>
          <w:rFonts w:ascii="宋体" w:hAnsi="宋体" w:eastAsia="宋体"/>
          <w:b w:val="false"/>
          <w:i w:val="false"/>
          <w:caps w:val="false"/>
          <w:smallCaps w:val="false"/>
          <w:color w:val="CBC6C0"/>
          <w:spacing w:val="0"/>
          <w:sz w:val="24"/>
        </w:rPr>
        <w:t>同样选择</w:t>
      </w:r>
      <w:r>
        <w:rPr>
          <w:rFonts w:eastAsia="宋体" w:ascii="宋体" w:hAnsi="宋体"/>
          <w:b w:val="false"/>
          <w:i w:val="false"/>
          <w:caps w:val="false"/>
          <w:smallCaps w:val="false"/>
          <w:color w:val="CBC6C0"/>
          <w:spacing w:val="0"/>
          <w:sz w:val="24"/>
        </w:rPr>
        <w:t>Risdon</w:t>
      </w:r>
      <w:r>
        <w:rPr>
          <w:rFonts w:ascii="宋体" w:hAnsi="宋体" w:eastAsia="宋体"/>
          <w:b w:val="false"/>
          <w:i w:val="false"/>
          <w:caps w:val="false"/>
          <w:smallCaps w:val="false"/>
          <w:color w:val="CBC6C0"/>
          <w:spacing w:val="0"/>
          <w:sz w:val="24"/>
        </w:rPr>
        <w:t>入路设计治疗下颌骨骨折，术后发生神经损伤的病例为</w:t>
      </w:r>
      <w:r>
        <w:rPr>
          <w:rFonts w:eastAsia="宋体" w:ascii="宋体" w:hAnsi="宋体"/>
          <w:b w:val="false"/>
          <w:i w:val="false"/>
          <w:caps w:val="false"/>
          <w:smallCaps w:val="false"/>
          <w:color w:val="CBC6C0"/>
          <w:spacing w:val="0"/>
          <w:sz w:val="24"/>
        </w:rPr>
        <w:t>23%</w:t>
      </w:r>
      <w:r>
        <w:rPr>
          <w:rFonts w:ascii="宋体" w:hAnsi="宋体" w:eastAsia="宋体"/>
          <w:b w:val="false"/>
          <w:i w:val="false"/>
          <w:caps w:val="false"/>
          <w:smallCaps w:val="false"/>
          <w:color w:val="CBC6C0"/>
          <w:spacing w:val="0"/>
          <w:sz w:val="24"/>
        </w:rPr>
        <w:t>。</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使用</w:t>
      </w:r>
      <w:r>
        <w:rPr>
          <w:rFonts w:eastAsia="宋体" w:ascii="宋体" w:hAnsi="宋体"/>
          <w:b w:val="false"/>
          <w:i w:val="false"/>
          <w:caps w:val="false"/>
          <w:smallCaps w:val="false"/>
          <w:color w:val="CBC6C0"/>
          <w:spacing w:val="0"/>
          <w:sz w:val="24"/>
        </w:rPr>
        <w:t>Risdom</w:t>
      </w:r>
      <w:r>
        <w:rPr>
          <w:rFonts w:ascii="宋体" w:hAnsi="宋体" w:eastAsia="宋体"/>
          <w:b w:val="false"/>
          <w:i w:val="false"/>
          <w:caps w:val="false"/>
          <w:smallCaps w:val="false"/>
          <w:color w:val="CBC6C0"/>
          <w:spacing w:val="0"/>
          <w:sz w:val="24"/>
        </w:rPr>
        <w:t>入路对乙状切迹处暴露效果较差， </w:t>
      </w:r>
      <w:r>
        <w:rPr>
          <w:rStyle w:val="Emphasis"/>
          <w:rFonts w:ascii="宋体" w:hAnsi="宋体" w:eastAsia="宋体"/>
          <w:b w:val="false"/>
          <w:i w:val="false"/>
          <w:caps w:val="false"/>
          <w:smallCaps w:val="false"/>
          <w:color w:val="CBC6C0"/>
          <w:spacing w:val="0"/>
          <w:sz w:val="24"/>
        </w:rPr>
        <w:t>引用文献，详细阐述相关关系</w:t>
      </w:r>
      <w:r>
        <w:rPr>
          <w:rFonts w:ascii="宋体" w:hAnsi="宋体" w:eastAsia="宋体"/>
          <w:b w:val="false"/>
          <w:i w:val="false"/>
          <w:caps w:val="false"/>
          <w:smallCaps w:val="false"/>
          <w:color w:val="CBC6C0"/>
          <w:spacing w:val="0"/>
          <w:sz w:val="24"/>
        </w:rPr>
        <w:t> 由此可见，</w:t>
      </w:r>
      <w:r>
        <w:rPr>
          <w:rFonts w:eastAsia="宋体" w:ascii="宋体" w:hAnsi="宋体"/>
          <w:b w:val="false"/>
          <w:i w:val="false"/>
          <w:caps w:val="false"/>
          <w:smallCaps w:val="false"/>
          <w:color w:val="CBC6C0"/>
          <w:spacing w:val="0"/>
          <w:sz w:val="24"/>
        </w:rPr>
        <w:t>Risdon</w:t>
      </w:r>
      <w:r>
        <w:rPr>
          <w:rFonts w:ascii="宋体" w:hAnsi="宋体" w:eastAsia="宋体"/>
          <w:b w:val="false"/>
          <w:i w:val="false"/>
          <w:caps w:val="false"/>
          <w:smallCaps w:val="false"/>
          <w:color w:val="CBC6C0"/>
          <w:spacing w:val="0"/>
          <w:sz w:val="24"/>
        </w:rPr>
        <w:t>入路的术后并发症发生率更低。</w:t>
      </w:r>
      <w:r>
        <w:rPr>
          <w:rFonts w:eastAsia="宋体" w:ascii="宋体" w:hAnsi="宋体"/>
          <w:b w:val="false"/>
          <w:i w:val="false"/>
          <w:caps w:val="false"/>
          <w:smallCaps w:val="false"/>
          <w:color w:val="CBC6C0"/>
          <w:spacing w:val="0"/>
          <w:sz w:val="24"/>
        </w:rPr>
        <w:t>Mehra [26]</w:t>
      </w:r>
      <w:r>
        <w:rPr>
          <w:rFonts w:ascii="宋体" w:hAnsi="宋体" w:eastAsia="宋体"/>
          <w:b w:val="false"/>
          <w:i w:val="false"/>
          <w:caps w:val="false"/>
          <w:smallCaps w:val="false"/>
          <w:color w:val="CBC6C0"/>
          <w:spacing w:val="0"/>
          <w:sz w:val="24"/>
        </w:rPr>
        <w:t>对比了下颌后入路与</w:t>
      </w:r>
      <w:r>
        <w:rPr>
          <w:rFonts w:eastAsia="宋体" w:ascii="宋体" w:hAnsi="宋体"/>
          <w:b w:val="false"/>
          <w:i w:val="false"/>
          <w:caps w:val="false"/>
          <w:smallCaps w:val="false"/>
          <w:color w:val="CBC6C0"/>
          <w:spacing w:val="0"/>
          <w:sz w:val="24"/>
        </w:rPr>
        <w:t>Risdon</w:t>
      </w:r>
      <w:r>
        <w:rPr>
          <w:rFonts w:ascii="宋体" w:hAnsi="宋体" w:eastAsia="宋体"/>
          <w:b w:val="false"/>
          <w:i w:val="false"/>
          <w:caps w:val="false"/>
          <w:smallCaps w:val="false"/>
          <w:color w:val="CBC6C0"/>
          <w:spacing w:val="0"/>
          <w:sz w:val="24"/>
        </w:rPr>
        <w:t>入路的暴露范围，统计学结果有显著差异，</w:t>
      </w:r>
      <w:r>
        <w:rPr>
          <w:rFonts w:eastAsia="宋体" w:ascii="宋体" w:hAnsi="宋体"/>
          <w:b w:val="false"/>
          <w:i w:val="false"/>
          <w:caps w:val="false"/>
          <w:smallCaps w:val="false"/>
          <w:color w:val="CBC6C0"/>
          <w:spacing w:val="0"/>
          <w:sz w:val="24"/>
        </w:rPr>
        <w:t>Risdon</w:t>
      </w:r>
      <w:r>
        <w:rPr>
          <w:rFonts w:ascii="宋体" w:hAnsi="宋体" w:eastAsia="宋体"/>
          <w:b w:val="false"/>
          <w:i w:val="false"/>
          <w:caps w:val="false"/>
          <w:smallCaps w:val="false"/>
          <w:color w:val="CBC6C0"/>
          <w:spacing w:val="0"/>
          <w:sz w:val="24"/>
        </w:rPr>
        <w:t>入路对乙状切迹位及髁突基底部暴露效果不佳，难以获得足够的暴露范围。</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发生在骨折端之间存在间隙的情况下。骨折愈合过程先形成软骨骨痂和骨膜骨痂，然后进行血管生成、矿化、吸收和重塑，最终形成板层骨。间隙愈合过程缓慢，通常需要几个月到几年的时间才能完成</w:t>
      </w:r>
      <w:r>
        <w:rPr>
          <w:rFonts w:eastAsia="宋体" w:ascii="宋体" w:hAnsi="宋体"/>
          <w:b w:val="false"/>
          <w:i w:val="false"/>
          <w:caps w:val="false"/>
          <w:smallCaps w:val="false"/>
          <w:color w:val="CBC6C0"/>
          <w:spacing w:val="0"/>
          <w:sz w:val="24"/>
        </w:rPr>
        <w:t>[27]</w:t>
      </w:r>
      <w:r>
        <w:rPr>
          <w:rFonts w:ascii="宋体" w:hAnsi="宋体" w:eastAsia="宋体"/>
          <w:b w:val="false"/>
          <w:i w:val="false"/>
          <w:caps w:val="false"/>
          <w:smallCaps w:val="false"/>
          <w:color w:val="CBC6C0"/>
          <w:spacing w:val="0"/>
          <w:sz w:val="24"/>
        </w:rPr>
        <w:t>。</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本研究的结果表明，随着微钛板间距的增加，两骨块之间的相对位移逐渐减小，术后稳定性越好，在行使咬合功能时，前部骨折块发生了向前向下的旋转，位移最大位置发生在乙状切迹处（图），即张力带，与</w:t>
      </w:r>
      <w:r>
        <w:rPr>
          <w:rFonts w:eastAsia="宋体" w:ascii="宋体" w:hAnsi="宋体"/>
          <w:b w:val="false"/>
          <w:i w:val="false"/>
          <w:caps w:val="false"/>
          <w:smallCaps w:val="false"/>
          <w:color w:val="CBC6C0"/>
          <w:spacing w:val="0"/>
          <w:sz w:val="24"/>
        </w:rPr>
        <w:t>champy</w:t>
      </w:r>
      <w:r>
        <w:rPr>
          <w:rFonts w:ascii="宋体" w:hAnsi="宋体" w:eastAsia="宋体"/>
          <w:b w:val="false"/>
          <w:i w:val="false"/>
          <w:caps w:val="false"/>
          <w:smallCaps w:val="false"/>
          <w:color w:val="CBC6C0"/>
          <w:spacing w:val="0"/>
          <w:sz w:val="24"/>
        </w:rPr>
        <w:t>的研究结果一致</w:t>
      </w:r>
      <w:r>
        <w:rPr>
          <w:rFonts w:eastAsia="宋体" w:ascii="宋体" w:hAnsi="宋体"/>
          <w:b w:val="false"/>
          <w:i w:val="false"/>
          <w:caps w:val="false"/>
          <w:smallCaps w:val="false"/>
          <w:color w:val="CBC6C0"/>
          <w:spacing w:val="0"/>
          <w:sz w:val="24"/>
        </w:rPr>
        <w:t>[17, 18]</w:t>
      </w:r>
      <w:r>
        <w:rPr>
          <w:rFonts w:ascii="宋体" w:hAnsi="宋体" w:eastAsia="宋体"/>
          <w:b w:val="false"/>
          <w:i w:val="false"/>
          <w:caps w:val="false"/>
          <w:smallCaps w:val="false"/>
          <w:color w:val="CBC6C0"/>
          <w:spacing w:val="0"/>
          <w:sz w:val="24"/>
        </w:rPr>
        <w:t>，当上部微钛板距离乙状切迹较近时，很大程度上减少了此处的位移，达到了稳定骨折块的效果。</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有研究表明</w:t>
      </w:r>
      <w:r>
        <w:rPr>
          <w:rFonts w:eastAsia="宋体" w:ascii="宋体" w:hAnsi="宋体"/>
          <w:b w:val="false"/>
          <w:i w:val="false"/>
          <w:caps w:val="false"/>
          <w:smallCaps w:val="false"/>
          <w:color w:val="CBC6C0"/>
          <w:spacing w:val="0"/>
          <w:sz w:val="24"/>
        </w:rPr>
        <w:t>[28]</w:t>
      </w:r>
      <w:r>
        <w:rPr>
          <w:rFonts w:ascii="宋体" w:hAnsi="宋体" w:eastAsia="宋体"/>
          <w:b w:val="false"/>
          <w:i w:val="false"/>
          <w:caps w:val="false"/>
          <w:smallCaps w:val="false"/>
          <w:color w:val="CBC6C0"/>
          <w:spacing w:val="0"/>
          <w:sz w:val="24"/>
        </w:rPr>
        <w:t>，在骨折相对位移在</w:t>
      </w:r>
      <w:r>
        <w:rPr>
          <w:rFonts w:eastAsia="宋体" w:ascii="宋体" w:hAnsi="宋体"/>
          <w:b w:val="false"/>
          <w:i w:val="false"/>
          <w:caps w:val="false"/>
          <w:smallCaps w:val="false"/>
          <w:color w:val="CBC6C0"/>
          <w:spacing w:val="0"/>
          <w:sz w:val="24"/>
        </w:rPr>
        <w:t>0.15mm</w:t>
      </w:r>
      <w:r>
        <w:rPr>
          <w:rFonts w:ascii="宋体" w:hAnsi="宋体" w:eastAsia="宋体"/>
          <w:b w:val="false"/>
          <w:i w:val="false"/>
          <w:caps w:val="false"/>
          <w:smallCaps w:val="false"/>
          <w:color w:val="CBC6C0"/>
          <w:spacing w:val="0"/>
          <w:sz w:val="24"/>
        </w:rPr>
        <w:t>以内的时候，可以达到直接愈合的效果，本研究的实验结果表明，在两微钛板之间的间距为</w:t>
      </w:r>
      <w:r>
        <w:rPr>
          <w:rFonts w:eastAsia="宋体" w:ascii="宋体" w:hAnsi="宋体"/>
          <w:b w:val="false"/>
          <w:i w:val="false"/>
          <w:caps w:val="false"/>
          <w:smallCaps w:val="false"/>
          <w:color w:val="CBC6C0"/>
          <w:spacing w:val="0"/>
          <w:sz w:val="24"/>
        </w:rPr>
        <w:t>20mm</w:t>
      </w:r>
      <w:r>
        <w:rPr>
          <w:rFonts w:ascii="宋体" w:hAnsi="宋体" w:eastAsia="宋体"/>
          <w:b w:val="false"/>
          <w:i w:val="false"/>
          <w:caps w:val="false"/>
          <w:smallCaps w:val="false"/>
          <w:color w:val="CBC6C0"/>
          <w:spacing w:val="0"/>
          <w:sz w:val="24"/>
        </w:rPr>
        <w:t>时，两骨折断端之间的相对位移为</w:t>
      </w:r>
      <w:r>
        <w:rPr>
          <w:rFonts w:eastAsia="宋体" w:ascii="宋体" w:hAnsi="宋体"/>
          <w:b w:val="false"/>
          <w:i w:val="false"/>
          <w:caps w:val="false"/>
          <w:smallCaps w:val="false"/>
          <w:color w:val="CBC6C0"/>
          <w:spacing w:val="0"/>
          <w:sz w:val="24"/>
        </w:rPr>
        <w:t>0.105789mm</w:t>
      </w:r>
      <w:r>
        <w:rPr>
          <w:rFonts w:ascii="宋体" w:hAnsi="宋体" w:eastAsia="宋体"/>
          <w:b w:val="false"/>
          <w:i w:val="false"/>
          <w:caps w:val="false"/>
          <w:smallCaps w:val="false"/>
          <w:color w:val="CBC6C0"/>
          <w:spacing w:val="0"/>
          <w:sz w:val="24"/>
        </w:rPr>
        <w:t>，在临床一起愈合的临界值之内，可以满足一期愈合的条件。且此手术入路可设计为</w:t>
      </w:r>
      <w:r>
        <w:rPr>
          <w:rFonts w:eastAsia="宋体" w:ascii="宋体" w:hAnsi="宋体"/>
          <w:b w:val="false"/>
          <w:i w:val="false"/>
          <w:caps w:val="false"/>
          <w:smallCaps w:val="false"/>
          <w:color w:val="CBC6C0"/>
          <w:spacing w:val="0"/>
          <w:sz w:val="24"/>
        </w:rPr>
        <w:t>Risdom</w:t>
      </w:r>
      <w:r>
        <w:rPr>
          <w:rFonts w:ascii="宋体" w:hAnsi="宋体" w:eastAsia="宋体"/>
          <w:b w:val="false"/>
          <w:i w:val="false"/>
          <w:caps w:val="false"/>
          <w:smallCaps w:val="false"/>
          <w:color w:val="CBC6C0"/>
          <w:spacing w:val="0"/>
          <w:sz w:val="24"/>
        </w:rPr>
        <w:t>入路，在达到稳定的固定效果的同时可以减少并发症的发生，并达到美观的效果。</w:t>
      </w:r>
    </w:p>
    <w:p>
      <w:pPr>
        <w:pStyle w:val="BodyText"/>
        <w:widowControl/>
        <w:bidi w:val="0"/>
        <w:spacing w:before="0" w:after="240"/>
        <w:ind w:hanging="0" w:left="0" w:right="0"/>
        <w:jc w:val="left"/>
        <w:rPr/>
      </w:pPr>
      <w:r>
        <w:rPr>
          <w:rFonts w:ascii="宋体" w:hAnsi="宋体" w:eastAsia="宋体"/>
          <w:b w:val="false"/>
          <w:i w:val="false"/>
          <w:caps w:val="false"/>
          <w:smallCaps w:val="false"/>
          <w:color w:val="CBC6C0"/>
          <w:spacing w:val="0"/>
          <w:sz w:val="24"/>
        </w:rPr>
        <w:t>因下颌骨解剖结构存在差异，为使本研究具备普遍性，使用采用了平均长度下颌骨，施加咬合力时， </w:t>
      </w:r>
      <w:r>
        <w:rPr>
          <w:rStyle w:val="Emphasis"/>
          <w:rFonts w:ascii="宋体" w:hAnsi="宋体" w:eastAsia="宋体"/>
          <w:b w:val="false"/>
          <w:i w:val="false"/>
          <w:caps w:val="false"/>
          <w:smallCaps w:val="false"/>
          <w:color w:val="CBC6C0"/>
          <w:spacing w:val="0"/>
          <w:sz w:val="24"/>
        </w:rPr>
        <w:t>文献引用</w:t>
      </w:r>
      <w:r>
        <w:rPr>
          <w:rFonts w:ascii="宋体" w:hAnsi="宋体" w:eastAsia="宋体"/>
          <w:b w:val="false"/>
          <w:i w:val="false"/>
          <w:caps w:val="false"/>
          <w:smallCaps w:val="false"/>
          <w:color w:val="CBC6C0"/>
          <w:spacing w:val="0"/>
          <w:sz w:val="24"/>
        </w:rPr>
        <w:t> 不同牙位的行使咬合功能时，所产生的咬合力不同，如前牙区的咬合力范围为</w:t>
      </w:r>
      <w:r>
        <w:rPr>
          <w:rFonts w:eastAsia="宋体" w:ascii="宋体" w:hAnsi="宋体"/>
          <w:b w:val="false"/>
          <w:i w:val="false"/>
          <w:caps w:val="false"/>
          <w:smallCaps w:val="false"/>
          <w:color w:val="CBC6C0"/>
          <w:spacing w:val="0"/>
          <w:sz w:val="24"/>
        </w:rPr>
        <w:t>100~370N</w:t>
      </w:r>
      <w:r>
        <w:rPr>
          <w:rFonts w:ascii="宋体" w:hAnsi="宋体" w:eastAsia="宋体"/>
          <w:b w:val="false"/>
          <w:i w:val="false"/>
          <w:caps w:val="false"/>
          <w:smallCaps w:val="false"/>
          <w:color w:val="CBC6C0"/>
          <w:spacing w:val="0"/>
          <w:sz w:val="24"/>
        </w:rPr>
        <w:t>，后牙区咬合力范围为</w:t>
      </w:r>
      <w:r>
        <w:rPr>
          <w:rFonts w:eastAsia="宋体" w:ascii="宋体" w:hAnsi="宋体"/>
          <w:b w:val="false"/>
          <w:i w:val="false"/>
          <w:caps w:val="false"/>
          <w:smallCaps w:val="false"/>
          <w:color w:val="CBC6C0"/>
          <w:spacing w:val="0"/>
          <w:sz w:val="24"/>
        </w:rPr>
        <w:t>50-400N[19]</w:t>
      </w:r>
      <w:r>
        <w:rPr>
          <w:rFonts w:ascii="宋体" w:hAnsi="宋体" w:eastAsia="宋体"/>
          <w:b w:val="false"/>
          <w:i w:val="false"/>
          <w:caps w:val="false"/>
          <w:smallCaps w:val="false"/>
          <w:color w:val="CBC6C0"/>
          <w:spacing w:val="0"/>
          <w:sz w:val="24"/>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rFonts w:eastAsia="宋体" w:ascii="宋体" w:hAnsi="宋体"/>
          <w:b w:val="false"/>
          <w:i w:val="false"/>
          <w:caps w:val="false"/>
          <w:smallCaps w:val="false"/>
          <w:color w:val="CBC6C0"/>
          <w:spacing w:val="0"/>
          <w:sz w:val="24"/>
        </w:rPr>
        <w:t xml:space="preserve">290N[13] </w:t>
      </w:r>
      <w:r>
        <w:rPr>
          <w:rFonts w:ascii="宋体" w:hAnsi="宋体" w:eastAsia="宋体"/>
          <w:b w:val="false"/>
          <w:i w:val="false"/>
          <w:caps w:val="false"/>
          <w:smallCaps w:val="false"/>
          <w:color w:val="CBC6C0"/>
          <w:spacing w:val="0"/>
          <w:sz w:val="24"/>
        </w:rPr>
        <w:t>有研究对两骨折块之间的相对位移与愈合的关系做了动物研究，研究表明，在一期愈合的动物中，最大相对位移为</w:t>
      </w:r>
      <w:r>
        <w:rPr>
          <w:rFonts w:eastAsia="宋体" w:ascii="宋体" w:hAnsi="宋体"/>
          <w:b w:val="false"/>
          <w:i w:val="false"/>
          <w:caps w:val="false"/>
          <w:smallCaps w:val="false"/>
          <w:color w:val="CBC6C0"/>
          <w:spacing w:val="0"/>
          <w:sz w:val="24"/>
        </w:rPr>
        <w:t>0.15</w:t>
      </w:r>
      <w:r>
        <w:rPr>
          <w:rFonts w:ascii="宋体" w:hAnsi="宋体" w:eastAsia="宋体"/>
          <w:b w:val="false"/>
          <w:i w:val="false"/>
          <w:caps w:val="false"/>
          <w:smallCaps w:val="false"/>
          <w:color w:val="CBC6C0"/>
          <w:spacing w:val="0"/>
          <w:sz w:val="24"/>
        </w:rPr>
        <w:t>，而其他未一期愈合的动物中，相对位移均超过</w:t>
      </w:r>
      <w:r>
        <w:rPr>
          <w:rFonts w:eastAsia="宋体" w:ascii="宋体" w:hAnsi="宋体"/>
          <w:b w:val="false"/>
          <w:i w:val="false"/>
          <w:caps w:val="false"/>
          <w:smallCaps w:val="false"/>
          <w:color w:val="CBC6C0"/>
          <w:spacing w:val="0"/>
          <w:sz w:val="24"/>
        </w:rPr>
        <w:t>0.15</w:t>
      </w:r>
      <w:r>
        <w:rPr>
          <w:rFonts w:ascii="宋体" w:hAnsi="宋体" w:eastAsia="宋体"/>
          <w:b w:val="false"/>
          <w:i w:val="false"/>
          <w:caps w:val="false"/>
          <w:smallCaps w:val="false"/>
          <w:color w:val="CBC6C0"/>
          <w:spacing w:val="0"/>
          <w:sz w:val="24"/>
        </w:rPr>
        <w:t>，故</w:t>
      </w:r>
      <w:r>
        <w:rPr>
          <w:rFonts w:eastAsia="宋体" w:ascii="宋体" w:hAnsi="宋体"/>
          <w:b w:val="false"/>
          <w:i w:val="false"/>
          <w:caps w:val="false"/>
          <w:smallCaps w:val="false"/>
          <w:color w:val="CBC6C0"/>
          <w:spacing w:val="0"/>
          <w:sz w:val="24"/>
        </w:rPr>
        <w:t>0.15</w:t>
      </w:r>
      <w:r>
        <w:rPr>
          <w:rFonts w:ascii="宋体" w:hAnsi="宋体" w:eastAsia="宋体"/>
          <w:b w:val="false"/>
          <w:i w:val="false"/>
          <w:caps w:val="false"/>
          <w:smallCaps w:val="false"/>
          <w:color w:val="CBC6C0"/>
          <w:spacing w:val="0"/>
          <w:sz w:val="24"/>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rFonts w:eastAsia="宋体" w:ascii="宋体" w:hAnsi="宋体"/>
          <w:b w:val="false"/>
          <w:i w:val="false"/>
          <w:caps w:val="false"/>
          <w:smallCaps w:val="false"/>
          <w:color w:val="CBC6C0"/>
          <w:spacing w:val="0"/>
          <w:sz w:val="24"/>
        </w:rPr>
        <w:t>20mm</w:t>
      </w:r>
      <w:r>
        <w:rPr>
          <w:rFonts w:ascii="宋体" w:hAnsi="宋体" w:eastAsia="宋体"/>
          <w:b w:val="false"/>
          <w:i w:val="false"/>
          <w:caps w:val="false"/>
          <w:smallCaps w:val="false"/>
          <w:color w:val="CBC6C0"/>
          <w:spacing w:val="0"/>
          <w:sz w:val="24"/>
        </w:rPr>
        <w:t>时相对位移为</w:t>
      </w:r>
      <w:r>
        <w:rPr>
          <w:rFonts w:eastAsia="宋体" w:ascii="宋体" w:hAnsi="宋体"/>
          <w:b w:val="false"/>
          <w:i w:val="false"/>
          <w:caps w:val="false"/>
          <w:smallCaps w:val="false"/>
          <w:color w:val="CBC6C0"/>
          <w:spacing w:val="0"/>
          <w:sz w:val="24"/>
        </w:rPr>
        <w:t>0.105789mm</w:t>
      </w:r>
      <w:r>
        <w:rPr>
          <w:rFonts w:ascii="宋体" w:hAnsi="宋体" w:eastAsia="宋体"/>
          <w:b w:val="false"/>
          <w:i w:val="false"/>
          <w:caps w:val="false"/>
          <w:smallCaps w:val="false"/>
          <w:color w:val="CBC6C0"/>
          <w:spacing w:val="0"/>
          <w:sz w:val="24"/>
        </w:rPr>
        <w:t>，在临床实际情况下相对位移数值会更小。</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结论</w:t>
      </w:r>
    </w:p>
    <w:p>
      <w:pPr>
        <w:pStyle w:val="BodyText"/>
        <w:widowControl/>
        <w:bidi w:val="0"/>
        <w:spacing w:before="0" w:after="240"/>
        <w:ind w:hanging="0" w:left="0" w:right="0"/>
        <w:jc w:val="left"/>
        <w:rPr>
          <w:rFonts w:ascii="宋体" w:hAnsi="宋体" w:eastAsia="宋体"/>
        </w:rPr>
      </w:pPr>
      <w:r>
        <w:rPr>
          <w:rFonts w:ascii="宋体" w:hAnsi="宋体" w:eastAsia="宋体"/>
          <w:b w:val="false"/>
          <w:i w:val="false"/>
          <w:caps w:val="false"/>
          <w:smallCaps w:val="false"/>
          <w:color w:val="CBC6C0"/>
          <w:spacing w:val="0"/>
          <w:sz w:val="24"/>
        </w:rPr>
        <w:t>本研究使用有限元分析的方法，研究双微钛板间距对下颌升支术后稳定性的影响，双微钛板间距增加时可以加强骨折术后的稳定性，在间距为</w:t>
      </w:r>
      <w:r>
        <w:rPr>
          <w:rFonts w:eastAsia="宋体" w:ascii="宋体" w:hAnsi="宋体"/>
          <w:b w:val="false"/>
          <w:i w:val="false"/>
          <w:caps w:val="false"/>
          <w:smallCaps w:val="false"/>
          <w:color w:val="CBC6C0"/>
          <w:spacing w:val="0"/>
          <w:sz w:val="24"/>
        </w:rPr>
        <w:t>20mm</w:t>
      </w:r>
      <w:r>
        <w:rPr>
          <w:rFonts w:ascii="宋体" w:hAnsi="宋体" w:eastAsia="宋体"/>
          <w:b w:val="false"/>
          <w:i w:val="false"/>
          <w:caps w:val="false"/>
          <w:smallCaps w:val="false"/>
          <w:color w:val="CBC6C0"/>
          <w:spacing w:val="0"/>
          <w:sz w:val="24"/>
        </w:rPr>
        <w:t>时，可以达到一期愈合的临界值，为临床提供理论依据。</w:t>
      </w:r>
    </w:p>
    <w:p>
      <w:pPr>
        <w:pStyle w:val="BodyText"/>
        <w:widowControl/>
        <w:bidi w:val="0"/>
        <w:spacing w:before="0" w:after="240"/>
        <w:ind w:hanging="0" w:left="0" w:right="0"/>
        <w:jc w:val="left"/>
        <w:rPr>
          <w:rFonts w:ascii="宋体" w:hAnsi="宋体" w:eastAsia="宋体"/>
        </w:rPr>
      </w:pPr>
      <w:r>
        <w:rPr>
          <w:rFonts w:eastAsia="宋体" w:ascii="宋体" w:hAnsi="宋体"/>
          <w:b w:val="false"/>
          <w:i w:val="false"/>
          <w:caps w:val="false"/>
          <w:smallCaps w:val="false"/>
          <w:color w:val="CBC6C0"/>
          <w:spacing w:val="0"/>
          <w:sz w:val="24"/>
        </w:rPr>
        <w:t>**</w:t>
      </w:r>
      <w:r>
        <w:rPr>
          <w:rFonts w:ascii="宋体" w:hAnsi="宋体" w:eastAsia="宋体"/>
          <w:b w:val="false"/>
          <w:i w:val="false"/>
          <w:caps w:val="false"/>
          <w:smallCaps w:val="false"/>
          <w:color w:val="CBC6C0"/>
          <w:spacing w:val="0"/>
          <w:sz w:val="24"/>
        </w:rPr>
        <w:t>参考文献</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 Pickrell, B. B.; Serebrakian, A. T.; Maricevich, R. S., Mandible Fractures. </w:t>
      </w:r>
      <w:r>
        <w:rPr>
          <w:rStyle w:val="Emphasis"/>
          <w:rFonts w:eastAsia="宋体" w:ascii="宋体" w:hAnsi="宋体"/>
          <w:b w:val="false"/>
          <w:i w:val="false"/>
          <w:caps w:val="false"/>
          <w:smallCaps w:val="false"/>
          <w:color w:val="CBC6C0"/>
          <w:spacing w:val="0"/>
          <w:sz w:val="24"/>
        </w:rPr>
        <w:t>Semin Plast Surg</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2017,</w:t>
      </w:r>
      <w:r>
        <w:rPr>
          <w:rFonts w:eastAsia="宋体" w:ascii="宋体" w:hAnsi="宋体"/>
          <w:b w:val="false"/>
          <w:i w:val="false"/>
          <w:caps w:val="false"/>
          <w:smallCaps w:val="false"/>
          <w:color w:val="CBC6C0"/>
          <w:spacing w:val="0"/>
          <w:sz w:val="24"/>
        </w:rPr>
        <w:t> 31, (2), 100-107.</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 Boole, J. R.; Holtel, M.; Amoroso, P.; Yore, M., 5196 mandible fractures among 4381 active duty army soldiers, 1980 to 1998. </w:t>
      </w:r>
      <w:r>
        <w:rPr>
          <w:rStyle w:val="Emphasis"/>
          <w:rFonts w:eastAsia="宋体" w:ascii="宋体" w:hAnsi="宋体"/>
          <w:b w:val="false"/>
          <w:i w:val="false"/>
          <w:caps w:val="false"/>
          <w:smallCaps w:val="false"/>
          <w:color w:val="CBC6C0"/>
          <w:spacing w:val="0"/>
          <w:sz w:val="24"/>
        </w:rPr>
        <w:t>Laryngoscope</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2001,</w:t>
      </w:r>
      <w:r>
        <w:rPr>
          <w:rFonts w:eastAsia="宋体" w:ascii="宋体" w:hAnsi="宋体"/>
          <w:b w:val="false"/>
          <w:i w:val="false"/>
          <w:caps w:val="false"/>
          <w:smallCaps w:val="false"/>
          <w:color w:val="CBC6C0"/>
          <w:spacing w:val="0"/>
          <w:sz w:val="24"/>
        </w:rPr>
        <w:t> 111, (10), 1691-6.</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\3. Olson, R. A.; Fonseca, R. J.; Zeitler, D. L.; Osbon, D. B., Fractures of the mandible: a review of 580 cases. </w:t>
      </w:r>
      <w:r>
        <w:rPr>
          <w:rStyle w:val="Emphasis"/>
          <w:rFonts w:eastAsia="宋体" w:ascii="宋体" w:hAnsi="宋体"/>
          <w:b w:val="false"/>
          <w:i w:val="false"/>
          <w:caps w:val="false"/>
          <w:smallCaps w:val="false"/>
          <w:color w:val="CBC6C0"/>
          <w:spacing w:val="0"/>
          <w:sz w:val="24"/>
        </w:rPr>
        <w:t>J Oral Maxillofac Surg</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1982,</w:t>
      </w:r>
      <w:r>
        <w:rPr>
          <w:rFonts w:eastAsia="宋体" w:ascii="宋体" w:hAnsi="宋体"/>
          <w:b w:val="false"/>
          <w:i w:val="false"/>
          <w:caps w:val="false"/>
          <w:smallCaps w:val="false"/>
          <w:color w:val="CBC6C0"/>
          <w:spacing w:val="0"/>
          <w:sz w:val="24"/>
        </w:rPr>
        <w:t> 40, (1), 23-8.</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\4. Subhashraj, K.; Nandakumar, N.; Ravindran, C., Review of maxillofacial injuries in Chennai, India: a study of 2748 cases. </w:t>
      </w:r>
      <w:r>
        <w:rPr>
          <w:rStyle w:val="Emphasis"/>
          <w:rFonts w:eastAsia="宋体" w:ascii="宋体" w:hAnsi="宋体"/>
          <w:b w:val="false"/>
          <w:i w:val="false"/>
          <w:caps w:val="false"/>
          <w:smallCaps w:val="false"/>
          <w:color w:val="CBC6C0"/>
          <w:spacing w:val="0"/>
          <w:sz w:val="24"/>
        </w:rPr>
        <w:t>Br J Oral Maxillofac Surg</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2007,</w:t>
      </w:r>
      <w:r>
        <w:rPr>
          <w:rFonts w:eastAsia="宋体" w:ascii="宋体" w:hAnsi="宋体"/>
          <w:b w:val="false"/>
          <w:i w:val="false"/>
          <w:caps w:val="false"/>
          <w:smallCaps w:val="false"/>
          <w:color w:val="CBC6C0"/>
          <w:spacing w:val="0"/>
          <w:sz w:val="24"/>
        </w:rPr>
        <w:t> 45, (8), 637-9.</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\5. Barde, D. H.; Mudhol, A.; Ali, F. M.; Madan, R. S.; Kar, S.; Ustaad, F., Efficacy of 3-Dimensional plates over Champys miniplates in mandibular anterior fractures. </w:t>
      </w:r>
      <w:r>
        <w:rPr>
          <w:rStyle w:val="Emphasis"/>
          <w:rFonts w:eastAsia="宋体" w:ascii="宋体" w:hAnsi="宋体"/>
          <w:b w:val="false"/>
          <w:i w:val="false"/>
          <w:caps w:val="false"/>
          <w:smallCaps w:val="false"/>
          <w:color w:val="CBC6C0"/>
          <w:spacing w:val="0"/>
          <w:sz w:val="24"/>
        </w:rPr>
        <w:t>J Int Oral Health</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2014,</w:t>
      </w:r>
      <w:r>
        <w:rPr>
          <w:rFonts w:eastAsia="宋体" w:ascii="宋体" w:hAnsi="宋体"/>
          <w:b w:val="false"/>
          <w:i w:val="false"/>
          <w:caps w:val="false"/>
          <w:smallCaps w:val="false"/>
          <w:color w:val="CBC6C0"/>
          <w:spacing w:val="0"/>
          <w:sz w:val="24"/>
        </w:rPr>
        <w:t> 6, (1), 20-6.</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\6. Welch-Phillips, A.; Gibbons, D.; Ahern, D. P.; Butler, J. S., What Is Finite Element Analysis? </w:t>
      </w:r>
      <w:r>
        <w:rPr>
          <w:rStyle w:val="Emphasis"/>
          <w:rFonts w:eastAsia="宋体" w:ascii="宋体" w:hAnsi="宋体"/>
          <w:b w:val="false"/>
          <w:i w:val="false"/>
          <w:caps w:val="false"/>
          <w:smallCaps w:val="false"/>
          <w:color w:val="CBC6C0"/>
          <w:spacing w:val="0"/>
          <w:sz w:val="24"/>
        </w:rPr>
        <w:t>Clin Spine Surg</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2020,</w:t>
      </w:r>
      <w:r>
        <w:rPr>
          <w:rFonts w:eastAsia="宋体" w:ascii="宋体" w:hAnsi="宋体"/>
          <w:b w:val="false"/>
          <w:i w:val="false"/>
          <w:caps w:val="false"/>
          <w:smallCaps w:val="false"/>
          <w:color w:val="CBC6C0"/>
          <w:spacing w:val="0"/>
          <w:sz w:val="24"/>
        </w:rPr>
        <w:t> 33, (8), 323-324.</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\7. Friedenberg, R., "Direct analysis" or "finite element analysis" in biology: a new computer approach. </w:t>
      </w:r>
      <w:r>
        <w:rPr>
          <w:rStyle w:val="Emphasis"/>
          <w:rFonts w:eastAsia="宋体" w:ascii="宋体" w:hAnsi="宋体"/>
          <w:b w:val="false"/>
          <w:i w:val="false"/>
          <w:caps w:val="false"/>
          <w:smallCaps w:val="false"/>
          <w:color w:val="CBC6C0"/>
          <w:spacing w:val="0"/>
          <w:sz w:val="24"/>
        </w:rPr>
        <w:t>Curr Mod Biol</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1969,</w:t>
      </w:r>
      <w:r>
        <w:rPr>
          <w:rFonts w:eastAsia="宋体" w:ascii="宋体" w:hAnsi="宋体"/>
          <w:b w:val="false"/>
          <w:i w:val="false"/>
          <w:caps w:val="false"/>
          <w:smallCaps w:val="false"/>
          <w:color w:val="CBC6C0"/>
          <w:spacing w:val="0"/>
          <w:sz w:val="24"/>
        </w:rPr>
        <w:t> 3, (2), 89-94.</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\8. Thresher, R. W.; Saito, G. E., The stress analysis of human teeth. </w:t>
      </w:r>
      <w:r>
        <w:rPr>
          <w:rStyle w:val="Emphasis"/>
          <w:rFonts w:eastAsia="宋体" w:ascii="宋体" w:hAnsi="宋体"/>
          <w:b w:val="false"/>
          <w:i w:val="false"/>
          <w:caps w:val="false"/>
          <w:smallCaps w:val="false"/>
          <w:color w:val="CBC6C0"/>
          <w:spacing w:val="0"/>
          <w:sz w:val="24"/>
        </w:rPr>
        <w:t>J Biomech</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1973,</w:t>
      </w:r>
      <w:r>
        <w:rPr>
          <w:rFonts w:eastAsia="宋体" w:ascii="宋体" w:hAnsi="宋体"/>
          <w:b w:val="false"/>
          <w:i w:val="false"/>
          <w:caps w:val="false"/>
          <w:smallCaps w:val="false"/>
          <w:color w:val="CBC6C0"/>
          <w:spacing w:val="0"/>
          <w:sz w:val="24"/>
        </w:rPr>
        <w:t> 6, (5), 443-9.</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\9. Sancar, B.; Çetiner, Y.; Dayı, E., Evaluation of the pattern of fracture formation from trauma to the human mandible with finite element analysis. Part 2: The corpus and the angle regions. </w:t>
      </w:r>
      <w:r>
        <w:rPr>
          <w:rStyle w:val="Emphasis"/>
          <w:rFonts w:eastAsia="宋体" w:ascii="宋体" w:hAnsi="宋体"/>
          <w:b w:val="false"/>
          <w:i w:val="false"/>
          <w:caps w:val="false"/>
          <w:smallCaps w:val="false"/>
          <w:color w:val="CBC6C0"/>
          <w:spacing w:val="0"/>
          <w:sz w:val="24"/>
        </w:rPr>
        <w:t>Dent Traumatol</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2023,</w:t>
      </w:r>
      <w:r>
        <w:rPr>
          <w:rFonts w:eastAsia="宋体" w:ascii="宋体" w:hAnsi="宋体"/>
          <w:b w:val="false"/>
          <w:i w:val="false"/>
          <w:caps w:val="false"/>
          <w:smallCaps w:val="false"/>
          <w:color w:val="CBC6C0"/>
          <w:spacing w:val="0"/>
          <w:sz w:val="24"/>
        </w:rPr>
        <w:t> 39, (5), 437-447.</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\10. Li, Y.; Li, H.; Lai, Q.; Xue, R.; Zhu, K.; Deng, Y., Finite element analysis of 3D-printed personalized titanium plates for mandibular angle fracture. </w:t>
      </w:r>
      <w:r>
        <w:rPr>
          <w:rStyle w:val="Emphasis"/>
          <w:rFonts w:eastAsia="宋体" w:ascii="宋体" w:hAnsi="宋体"/>
          <w:b w:val="false"/>
          <w:i w:val="false"/>
          <w:caps w:val="false"/>
          <w:smallCaps w:val="false"/>
          <w:color w:val="CBC6C0"/>
          <w:spacing w:val="0"/>
          <w:sz w:val="24"/>
        </w:rPr>
        <w:t>Comput Methods Biomech Biomed Engin</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2023,</w:t>
      </w:r>
      <w:r>
        <w:rPr>
          <w:rFonts w:eastAsia="宋体" w:ascii="宋体" w:hAnsi="宋体"/>
          <w:b w:val="false"/>
          <w:i w:val="false"/>
          <w:caps w:val="false"/>
          <w:smallCaps w:val="false"/>
          <w:color w:val="CBC6C0"/>
          <w:spacing w:val="0"/>
          <w:sz w:val="24"/>
        </w:rPr>
        <w:t> 26, (1), 78-89.</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\11. Coyac, B. R.; Salvi, G.; Leahy, B.; Li, Z.; Salmon, B.; Hoffmann, W.; Helms, J. A., A novel system exploits bone debris for implant osseointegration. </w:t>
      </w:r>
      <w:r>
        <w:rPr>
          <w:rStyle w:val="Emphasis"/>
          <w:rFonts w:eastAsia="宋体" w:ascii="宋体" w:hAnsi="宋体"/>
          <w:b w:val="false"/>
          <w:i w:val="false"/>
          <w:caps w:val="false"/>
          <w:smallCaps w:val="false"/>
          <w:color w:val="CBC6C0"/>
          <w:spacing w:val="0"/>
          <w:sz w:val="24"/>
        </w:rPr>
        <w:t>J Periodontol</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2021,</w:t>
      </w:r>
      <w:r>
        <w:rPr>
          <w:rFonts w:eastAsia="宋体" w:ascii="宋体" w:hAnsi="宋体"/>
          <w:b w:val="false"/>
          <w:i w:val="false"/>
          <w:caps w:val="false"/>
          <w:smallCaps w:val="false"/>
          <w:color w:val="CBC6C0"/>
          <w:spacing w:val="0"/>
          <w:sz w:val="24"/>
        </w:rPr>
        <w:t> 92, (5), 716-726.</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\12. Solberg, K.; Heinemann, F.; Pellikaan, P.; Keilig, L.; Stark, H.; Bourauel, C.; Hasan, I., Finite element analysis of different loading conditions for implant-supported overdentures supported by conventional or mini implants. </w:t>
      </w:r>
      <w:r>
        <w:rPr>
          <w:rStyle w:val="Emphasis"/>
          <w:rFonts w:eastAsia="宋体" w:ascii="宋体" w:hAnsi="宋体"/>
          <w:b w:val="false"/>
          <w:i w:val="false"/>
          <w:caps w:val="false"/>
          <w:smallCaps w:val="false"/>
          <w:color w:val="CBC6C0"/>
          <w:spacing w:val="0"/>
          <w:sz w:val="24"/>
        </w:rPr>
        <w:t>Comput Methods Biomech Biomed Engin</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2017,</w:t>
      </w:r>
      <w:r>
        <w:rPr>
          <w:rFonts w:eastAsia="宋体" w:ascii="宋体" w:hAnsi="宋体"/>
          <w:b w:val="false"/>
          <w:i w:val="false"/>
          <w:caps w:val="false"/>
          <w:smallCaps w:val="false"/>
          <w:color w:val="CBC6C0"/>
          <w:spacing w:val="0"/>
          <w:sz w:val="24"/>
        </w:rPr>
        <w:t> 20, (7), 770-782.</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\13. Hagberg, C., Electromyography and bite force studies of muscular function and dysfunction in masticatory muscles. </w:t>
      </w:r>
      <w:r>
        <w:rPr>
          <w:rStyle w:val="Emphasis"/>
          <w:rFonts w:eastAsia="宋体" w:ascii="宋体" w:hAnsi="宋体"/>
          <w:b w:val="false"/>
          <w:i w:val="false"/>
          <w:caps w:val="false"/>
          <w:smallCaps w:val="false"/>
          <w:color w:val="CBC6C0"/>
          <w:spacing w:val="0"/>
          <w:sz w:val="24"/>
        </w:rPr>
        <w:t>Swed Dent J Suppl</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1986,</w:t>
      </w:r>
      <w:r>
        <w:rPr>
          <w:rFonts w:eastAsia="宋体" w:ascii="宋体" w:hAnsi="宋体"/>
          <w:b w:val="false"/>
          <w:i w:val="false"/>
          <w:caps w:val="false"/>
          <w:smallCaps w:val="false"/>
          <w:color w:val="CBC6C0"/>
          <w:spacing w:val="0"/>
          <w:sz w:val="24"/>
        </w:rPr>
        <w:t> 37, 1-64.</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\14. Agarwal, P.; Mehrotra, D., Mandibular Ramus Fractures: A Proposed Classification. </w:t>
      </w:r>
      <w:r>
        <w:rPr>
          <w:rStyle w:val="Emphasis"/>
          <w:rFonts w:eastAsia="宋体" w:ascii="宋体" w:hAnsi="宋体"/>
          <w:b w:val="false"/>
          <w:i w:val="false"/>
          <w:caps w:val="false"/>
          <w:smallCaps w:val="false"/>
          <w:color w:val="CBC6C0"/>
          <w:spacing w:val="0"/>
          <w:sz w:val="24"/>
        </w:rPr>
        <w:t>Craniomaxillofac Trauma Reconstr</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2020,</w:t>
      </w:r>
      <w:r>
        <w:rPr>
          <w:rFonts w:eastAsia="宋体" w:ascii="宋体" w:hAnsi="宋体"/>
          <w:b w:val="false"/>
          <w:i w:val="false"/>
          <w:caps w:val="false"/>
          <w:smallCaps w:val="false"/>
          <w:color w:val="CBC6C0"/>
          <w:spacing w:val="0"/>
          <w:sz w:val="24"/>
        </w:rPr>
        <w:t> 13, (1), 9-14.</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\15. Jadhav, A.; Mundada, B.; Deshmukh, R.; Bhutekar, U.; Kala, A.; Waghwani, K.; Mishra, A., Mandibular Ramus Fracture: An Overview of Rare Anatomical Subsite. </w:t>
      </w:r>
      <w:r>
        <w:rPr>
          <w:rStyle w:val="Emphasis"/>
          <w:rFonts w:eastAsia="宋体" w:ascii="宋体" w:hAnsi="宋体"/>
          <w:b w:val="false"/>
          <w:i w:val="false"/>
          <w:caps w:val="false"/>
          <w:smallCaps w:val="false"/>
          <w:color w:val="CBC6C0"/>
          <w:spacing w:val="0"/>
          <w:sz w:val="24"/>
        </w:rPr>
        <w:t>Plast Surg Int</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2015,</w:t>
      </w:r>
      <w:r>
        <w:rPr>
          <w:rFonts w:eastAsia="宋体" w:ascii="宋体" w:hAnsi="宋体"/>
          <w:b w:val="false"/>
          <w:i w:val="false"/>
          <w:caps w:val="false"/>
          <w:smallCaps w:val="false"/>
          <w:color w:val="CBC6C0"/>
          <w:spacing w:val="0"/>
          <w:sz w:val="24"/>
        </w:rPr>
        <w:t> 2015, 954314.</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\16. Kale, T. P.; Kotrashetti, S. M.; Louis, A.; Lingaraj, J. B.; Sarvesh, B. U., Mandibular ramus fractures: a rarity. </w:t>
      </w:r>
      <w:r>
        <w:rPr>
          <w:rStyle w:val="Emphasis"/>
          <w:rFonts w:eastAsia="宋体" w:ascii="宋体" w:hAnsi="宋体"/>
          <w:b w:val="false"/>
          <w:i w:val="false"/>
          <w:caps w:val="false"/>
          <w:smallCaps w:val="false"/>
          <w:color w:val="CBC6C0"/>
          <w:spacing w:val="0"/>
          <w:sz w:val="24"/>
        </w:rPr>
        <w:t>J Contemp Dent Pract</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2013,</w:t>
      </w:r>
      <w:r>
        <w:rPr>
          <w:rFonts w:eastAsia="宋体" w:ascii="宋体" w:hAnsi="宋体"/>
          <w:b w:val="false"/>
          <w:i w:val="false"/>
          <w:caps w:val="false"/>
          <w:smallCaps w:val="false"/>
          <w:color w:val="CBC6C0"/>
          <w:spacing w:val="0"/>
          <w:sz w:val="24"/>
        </w:rPr>
        <w:t> 14, (1), 39-42.</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\17. Champy, M.; Lodde, J. P., [Mandibular synthesis. Placement of the synthesis as a function of mandibular stress]. </w:t>
      </w:r>
      <w:r>
        <w:rPr>
          <w:rStyle w:val="Emphasis"/>
          <w:rFonts w:eastAsia="宋体" w:ascii="宋体" w:hAnsi="宋体"/>
          <w:b w:val="false"/>
          <w:i w:val="false"/>
          <w:caps w:val="false"/>
          <w:smallCaps w:val="false"/>
          <w:color w:val="CBC6C0"/>
          <w:spacing w:val="0"/>
          <w:sz w:val="24"/>
        </w:rPr>
        <w:t>Rev Stomatol Chir Maxillofac</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1976,</w:t>
      </w:r>
      <w:r>
        <w:rPr>
          <w:rFonts w:eastAsia="宋体" w:ascii="宋体" w:hAnsi="宋体"/>
          <w:b w:val="false"/>
          <w:i w:val="false"/>
          <w:caps w:val="false"/>
          <w:smallCaps w:val="false"/>
          <w:color w:val="CBC6C0"/>
          <w:spacing w:val="0"/>
          <w:sz w:val="24"/>
        </w:rPr>
        <w:t> 77, (8), 971-6.</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\18. Champy, M.; Wilk, A.; Schnebelen, J. M., [Tretment of mandibular fractures by means of osteosynthesis without intermaxillary immobilization according to F.X. Michelet's technic]. </w:t>
      </w:r>
      <w:r>
        <w:rPr>
          <w:rStyle w:val="Emphasis"/>
          <w:rFonts w:eastAsia="宋体" w:ascii="宋体" w:hAnsi="宋体"/>
          <w:b w:val="false"/>
          <w:i w:val="false"/>
          <w:caps w:val="false"/>
          <w:smallCaps w:val="false"/>
          <w:color w:val="CBC6C0"/>
          <w:spacing w:val="0"/>
          <w:sz w:val="24"/>
        </w:rPr>
        <w:t>Zahn Mund Kieferheilkd Zentralbl</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1975,</w:t>
      </w:r>
      <w:r>
        <w:rPr>
          <w:rFonts w:eastAsia="宋体" w:ascii="宋体" w:hAnsi="宋体"/>
          <w:b w:val="false"/>
          <w:i w:val="false"/>
          <w:caps w:val="false"/>
          <w:smallCaps w:val="false"/>
          <w:color w:val="CBC6C0"/>
          <w:spacing w:val="0"/>
          <w:sz w:val="24"/>
        </w:rPr>
        <w:t> 63, (4), 339-41.</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\19. Paphangkorakit, J.; Osborn, J. W., The effect of pressure on a maximum incisal bite force in man. </w:t>
      </w:r>
      <w:r>
        <w:rPr>
          <w:rStyle w:val="Emphasis"/>
          <w:rFonts w:eastAsia="宋体" w:ascii="宋体" w:hAnsi="宋体"/>
          <w:b w:val="false"/>
          <w:i w:val="false"/>
          <w:caps w:val="false"/>
          <w:smallCaps w:val="false"/>
          <w:color w:val="CBC6C0"/>
          <w:spacing w:val="0"/>
          <w:sz w:val="24"/>
        </w:rPr>
        <w:t>Arch Oral Biol</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1997,</w:t>
      </w:r>
      <w:r>
        <w:rPr>
          <w:rFonts w:eastAsia="宋体" w:ascii="宋体" w:hAnsi="宋体"/>
          <w:b w:val="false"/>
          <w:i w:val="false"/>
          <w:caps w:val="false"/>
          <w:smallCaps w:val="false"/>
          <w:color w:val="CBC6C0"/>
          <w:spacing w:val="0"/>
          <w:sz w:val="24"/>
        </w:rPr>
        <w:t> 42, (1), 11-7.</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\20. Hinds, E. C.; Girotti, W. J., Vertical subcondylar osteotomy: a reappraisal. </w:t>
      </w:r>
      <w:r>
        <w:rPr>
          <w:rStyle w:val="Emphasis"/>
          <w:rFonts w:eastAsia="宋体" w:ascii="宋体" w:hAnsi="宋体"/>
          <w:b w:val="false"/>
          <w:i w:val="false"/>
          <w:caps w:val="false"/>
          <w:smallCaps w:val="false"/>
          <w:color w:val="CBC6C0"/>
          <w:spacing w:val="0"/>
          <w:sz w:val="24"/>
        </w:rPr>
        <w:t>Oral Surg Oral Med Oral Pathol</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1967,</w:t>
      </w:r>
      <w:r>
        <w:rPr>
          <w:rFonts w:eastAsia="宋体" w:ascii="宋体" w:hAnsi="宋体"/>
          <w:b w:val="false"/>
          <w:i w:val="false"/>
          <w:caps w:val="false"/>
          <w:smallCaps w:val="false"/>
          <w:color w:val="CBC6C0"/>
          <w:spacing w:val="0"/>
          <w:sz w:val="24"/>
        </w:rPr>
        <w:t> 24, (2), 164-70.</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\21. Manisali, M.; Amin, M.; Aghabeigi, B.; Newman, L., Retromandibular approach to the mandibular condyle: a clinical and cadaveric study. </w:t>
      </w:r>
      <w:r>
        <w:rPr>
          <w:rStyle w:val="Emphasis"/>
          <w:rFonts w:eastAsia="宋体" w:ascii="宋体" w:hAnsi="宋体"/>
          <w:b w:val="false"/>
          <w:i w:val="false"/>
          <w:caps w:val="false"/>
          <w:smallCaps w:val="false"/>
          <w:color w:val="CBC6C0"/>
          <w:spacing w:val="0"/>
          <w:sz w:val="24"/>
        </w:rPr>
        <w:t>Int J Oral Maxillofac Surg</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2003,</w:t>
      </w:r>
      <w:r>
        <w:rPr>
          <w:rFonts w:eastAsia="宋体" w:ascii="宋体" w:hAnsi="宋体"/>
          <w:b w:val="false"/>
          <w:i w:val="false"/>
          <w:caps w:val="false"/>
          <w:smallCaps w:val="false"/>
          <w:color w:val="CBC6C0"/>
          <w:spacing w:val="0"/>
          <w:sz w:val="24"/>
        </w:rPr>
        <w:t> 32, (3), 253-6.</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\22. Risdon, F., The Treatment of Fractures of the Jaws. </w:t>
      </w:r>
      <w:r>
        <w:rPr>
          <w:rStyle w:val="Emphasis"/>
          <w:rFonts w:eastAsia="宋体" w:ascii="宋体" w:hAnsi="宋体"/>
          <w:b w:val="false"/>
          <w:i w:val="false"/>
          <w:caps w:val="false"/>
          <w:smallCaps w:val="false"/>
          <w:color w:val="CBC6C0"/>
          <w:spacing w:val="0"/>
          <w:sz w:val="24"/>
        </w:rPr>
        <w:t>Can Med Assoc J</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1929,</w:t>
      </w:r>
      <w:r>
        <w:rPr>
          <w:rFonts w:eastAsia="宋体" w:ascii="宋体" w:hAnsi="宋体"/>
          <w:b w:val="false"/>
          <w:i w:val="false"/>
          <w:caps w:val="false"/>
          <w:smallCaps w:val="false"/>
          <w:color w:val="CBC6C0"/>
          <w:spacing w:val="0"/>
          <w:sz w:val="24"/>
        </w:rPr>
        <w:t> 20, (3), 260-2.</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\23. Meyer, C.; Zink, S.; Wilk, A., [Modified Risdon approach for the treatment of subcondylar fractures of the mandible]. </w:t>
      </w:r>
      <w:r>
        <w:rPr>
          <w:rStyle w:val="Emphasis"/>
          <w:rFonts w:eastAsia="宋体" w:ascii="宋体" w:hAnsi="宋体"/>
          <w:b w:val="false"/>
          <w:i w:val="false"/>
          <w:caps w:val="false"/>
          <w:smallCaps w:val="false"/>
          <w:color w:val="CBC6C0"/>
          <w:spacing w:val="0"/>
          <w:sz w:val="24"/>
        </w:rPr>
        <w:t>Rev Stomatol Chir Maxillofac</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2006,</w:t>
      </w:r>
      <w:r>
        <w:rPr>
          <w:rFonts w:eastAsia="宋体" w:ascii="宋体" w:hAnsi="宋体"/>
          <w:b w:val="false"/>
          <w:i w:val="false"/>
          <w:caps w:val="false"/>
          <w:smallCaps w:val="false"/>
          <w:color w:val="CBC6C0"/>
          <w:spacing w:val="0"/>
          <w:sz w:val="24"/>
        </w:rPr>
        <w:t> 107, (6), 449-54.</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\24. Prabhu, R. K.; Sinha, R.; Chowdhury, S. K.; Chattopadhyay, P. K., Evaluation of facial nerve function following surgical approaches for maxillofacial trauma. </w:t>
      </w:r>
      <w:r>
        <w:rPr>
          <w:rStyle w:val="Emphasis"/>
          <w:rFonts w:eastAsia="宋体" w:ascii="宋体" w:hAnsi="宋体"/>
          <w:b w:val="false"/>
          <w:i w:val="false"/>
          <w:caps w:val="false"/>
          <w:smallCaps w:val="false"/>
          <w:color w:val="CBC6C0"/>
          <w:spacing w:val="0"/>
          <w:sz w:val="24"/>
        </w:rPr>
        <w:t>Ann Maxillofac Surg</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2012,</w:t>
      </w:r>
      <w:r>
        <w:rPr>
          <w:rFonts w:eastAsia="宋体" w:ascii="宋体" w:hAnsi="宋体"/>
          <w:b w:val="false"/>
          <w:i w:val="false"/>
          <w:caps w:val="false"/>
          <w:smallCaps w:val="false"/>
          <w:color w:val="CBC6C0"/>
          <w:spacing w:val="0"/>
          <w:sz w:val="24"/>
        </w:rPr>
        <w:t> 2, (1), 36-40.</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\25. Mehra, P.; Murad, H., Internal fixation of mandibular angle fractures: a comparison of 2 techniques. </w:t>
      </w:r>
      <w:r>
        <w:rPr>
          <w:rStyle w:val="Emphasis"/>
          <w:rFonts w:eastAsia="宋体" w:ascii="宋体" w:hAnsi="宋体"/>
          <w:b w:val="false"/>
          <w:i w:val="false"/>
          <w:caps w:val="false"/>
          <w:smallCaps w:val="false"/>
          <w:color w:val="CBC6C0"/>
          <w:spacing w:val="0"/>
          <w:sz w:val="24"/>
        </w:rPr>
        <w:t>J Oral Maxillofac Surg</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2008,</w:t>
      </w:r>
      <w:r>
        <w:rPr>
          <w:rFonts w:eastAsia="宋体" w:ascii="宋体" w:hAnsi="宋体"/>
          <w:b w:val="false"/>
          <w:i w:val="false"/>
          <w:caps w:val="false"/>
          <w:smallCaps w:val="false"/>
          <w:color w:val="CBC6C0"/>
          <w:spacing w:val="0"/>
          <w:sz w:val="24"/>
        </w:rPr>
        <w:t> 66, (11), 2254-60.</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\26. Ruiz, R.; Schlund, M.; Raoul, G.; Kyheng, M.; Fontaine, C.; Nicot, R., Mandibular subcondylar fracture accessibility with transparotid approach by rhytidectomy and modified Risdon approach: An anatomical comparative study. </w:t>
      </w:r>
      <w:r>
        <w:rPr>
          <w:rStyle w:val="Emphasis"/>
          <w:rFonts w:eastAsia="宋体" w:ascii="宋体" w:hAnsi="宋体"/>
          <w:b w:val="false"/>
          <w:i w:val="false"/>
          <w:caps w:val="false"/>
          <w:smallCaps w:val="false"/>
          <w:color w:val="CBC6C0"/>
          <w:spacing w:val="0"/>
          <w:sz w:val="24"/>
        </w:rPr>
        <w:t>J Craniomaxillofac Surg</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2018,</w:t>
      </w:r>
      <w:r>
        <w:rPr>
          <w:rFonts w:eastAsia="宋体" w:ascii="宋体" w:hAnsi="宋体"/>
          <w:b w:val="false"/>
          <w:i w:val="false"/>
          <w:caps w:val="false"/>
          <w:smallCaps w:val="false"/>
          <w:color w:val="CBC6C0"/>
          <w:spacing w:val="0"/>
          <w:sz w:val="24"/>
        </w:rPr>
        <w:t> 46, (12), 2256-2260.</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\27. Marsell, R.; Einhorn, T. A., The biology of fracture healing. </w:t>
      </w:r>
      <w:r>
        <w:rPr>
          <w:rStyle w:val="Emphasis"/>
          <w:rFonts w:eastAsia="宋体" w:ascii="宋体" w:hAnsi="宋体"/>
          <w:b w:val="false"/>
          <w:i w:val="false"/>
          <w:caps w:val="false"/>
          <w:smallCaps w:val="false"/>
          <w:color w:val="CBC6C0"/>
          <w:spacing w:val="0"/>
          <w:sz w:val="24"/>
        </w:rPr>
        <w:t>Injury</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2011,</w:t>
      </w:r>
      <w:r>
        <w:rPr>
          <w:rFonts w:eastAsia="宋体" w:ascii="宋体" w:hAnsi="宋体"/>
          <w:b w:val="false"/>
          <w:i w:val="false"/>
          <w:caps w:val="false"/>
          <w:smallCaps w:val="false"/>
          <w:color w:val="CBC6C0"/>
          <w:spacing w:val="0"/>
          <w:sz w:val="24"/>
        </w:rPr>
        <w:t> 42, (6), 551-5.</w:t>
      </w:r>
    </w:p>
    <w:p>
      <w:pPr>
        <w:pStyle w:val="BodyText"/>
        <w:widowControl/>
        <w:bidi w:val="0"/>
        <w:spacing w:before="0" w:after="240"/>
        <w:ind w:hanging="0" w:left="0" w:right="0"/>
        <w:jc w:val="left"/>
        <w:rPr/>
      </w:pPr>
      <w:r>
        <w:rPr>
          <w:rFonts w:eastAsia="宋体" w:ascii="宋体" w:hAnsi="宋体"/>
          <w:b w:val="false"/>
          <w:i w:val="false"/>
          <w:caps w:val="false"/>
          <w:smallCaps w:val="false"/>
          <w:color w:val="CBC6C0"/>
          <w:spacing w:val="0"/>
          <w:sz w:val="24"/>
        </w:rPr>
        <w:t>\28. Claes, L.; Augat, P.; Suger, G.; Wilke, H. J., Influence of size and stability of the osteotomy gap on the success of fracture healing. </w:t>
      </w:r>
      <w:r>
        <w:rPr>
          <w:rStyle w:val="Emphasis"/>
          <w:rFonts w:eastAsia="宋体" w:ascii="宋体" w:hAnsi="宋体"/>
          <w:b w:val="false"/>
          <w:i w:val="false"/>
          <w:caps w:val="false"/>
          <w:smallCaps w:val="false"/>
          <w:color w:val="CBC6C0"/>
          <w:spacing w:val="0"/>
          <w:sz w:val="24"/>
        </w:rPr>
        <w:t>J Orthop Res</w:t>
      </w:r>
      <w:r>
        <w:rPr>
          <w:rFonts w:eastAsia="宋体" w:ascii="宋体" w:hAnsi="宋体"/>
          <w:b w:val="false"/>
          <w:i w:val="false"/>
          <w:caps w:val="false"/>
          <w:smallCaps w:val="false"/>
          <w:color w:val="CBC6C0"/>
          <w:spacing w:val="0"/>
          <w:sz w:val="24"/>
        </w:rPr>
        <w:t> </w:t>
      </w:r>
      <w:r>
        <w:rPr>
          <w:rStyle w:val="Strong"/>
          <w:rFonts w:eastAsia="宋体" w:ascii="宋体" w:hAnsi="宋体"/>
          <w:b w:val="false"/>
          <w:i w:val="false"/>
          <w:caps w:val="false"/>
          <w:smallCaps w:val="false"/>
          <w:color w:val="CBC6C0"/>
          <w:spacing w:val="0"/>
          <w:sz w:val="24"/>
        </w:rPr>
        <w:t>1997,</w:t>
      </w:r>
      <w:r>
        <w:rPr>
          <w:rFonts w:eastAsia="宋体" w:ascii="宋体" w:hAnsi="宋体"/>
          <w:b w:val="false"/>
          <w:i w:val="false"/>
          <w:caps w:val="false"/>
          <w:smallCaps w:val="false"/>
          <w:color w:val="CBC6C0"/>
          <w:spacing w:val="0"/>
          <w:sz w:val="24"/>
        </w:rPr>
        <w:t> 15, (4), 577-84.</w:t>
      </w:r>
    </w:p>
    <w:p>
      <w:pPr>
        <w:pStyle w:val="Normal"/>
        <w:bidi w:val="0"/>
        <w:jc w:val="left"/>
        <w:rPr>
          <w:rFonts w:ascii="宋体" w:hAnsi="宋体" w:eastAsia="宋体"/>
        </w:rPr>
      </w:pPr>
      <w:r>
        <w:rPr>
          <w:rFonts w:eastAsia="宋体" w:ascii="宋体" w:hAnsi="宋体"/>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auto"/>
    <w:pitch w:val="default"/>
  </w:font>
</w:fonts>
</file>

<file path=word/settings.xml><?xml version="1.0" encoding="utf-8"?>
<w:settings xmlns:w="http://schemas.openxmlformats.org/wordprocessingml/2006/main">
  <w:zoom w:percent="100"/>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LibreOffice_project/e14c9fdd1f585efcbb2c5363087a99d20928d522</Application>
  <AppVersion>15.0000</AppVersion>
  <Pages>9</Pages>
  <Words>5996</Words>
  <Characters>9943</Characters>
  <CharactersWithSpaces>10721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2025-01-15T14:06:37Z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