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8.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footer16.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14.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9.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styles.xml" ContentType="application/vnd.openxmlformats-officedocument.wordprocessingml.styles+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1.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footer27.xml" ContentType="application/vnd.openxmlformats-officedocument.wordprocessingml.footer+xml"/>
  <Override PartName="/word/header20.xml" ContentType="application/vnd.openxmlformats-officedocument.wordprocessingml.head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settings.xml" ContentType="application/vnd.openxmlformats-officedocument.wordprocessingml.settings+xml"/>
  <Override PartName="/word/footer20.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Override PartName="/word/header19.xml" ContentType="application/vnd.openxmlformats-officedocument.wordprocessingml.header+xml"/>
  <Override PartName="/word/footer31.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header18.xml" ContentType="application/vnd.openxmlformats-officedocument.wordprocessingml.header+xml"/>
  <Override PartName="/word/footer30.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firstLine="420"/>
        <w:jc w:val="center"/>
        <w:rPr/>
      </w:pPr>
      <w:r>
        <w:rPr/>
        <w:t xml:space="preserve"> </w:t>
      </w:r>
    </w:p>
    <w:p>
      <w:pPr>
        <w:pStyle w:val="Normal"/>
        <w:spacing w:lineRule="exact" w:line="500"/>
        <w:ind w:firstLine="420"/>
        <w:rPr>
          <w:rFonts w:ascii="等线" w:hAnsi="等线" w:eastAsia="楷体_GB2312" w:asciiTheme="minorHAnsi" w:hAnsiTheme="minorHAnsi"/>
        </w:rPr>
      </w:pPr>
      <w:r>
        <w:rPr>
          <w:rFonts w:eastAsia="楷体_GB2312" w:ascii="等线" w:hAnsi="等线"/>
        </w:rPr>
      </w:r>
    </w:p>
    <w:p>
      <w:pPr>
        <w:pStyle w:val="Normal"/>
        <w:spacing w:lineRule="exact" w:line="500"/>
        <w:ind w:firstLine="480"/>
        <w:rPr>
          <w:rFonts w:ascii="楷体_GB2312" w:hAnsi="楷体_GB2312" w:eastAsia="楷体_GB2312"/>
        </w:rPr>
      </w:pPr>
      <w:r>
        <w:rPr>
          <w:rFonts w:eastAsia="楷体_GB2312" w:ascii="楷体_GB2312" w:hAnsi="楷体_GB2312"/>
        </w:rPr>
        <mc:AlternateContent>
          <mc:Choice Requires="wps">
            <w:drawing>
              <wp:anchor behindDoc="0" distT="0" distB="15240" distL="0" distR="0" simplePos="0" locked="0" layoutInCell="1" allowOverlap="1" relativeHeight="37" wp14:anchorId="754BEE5F">
                <wp:simplePos x="0" y="0"/>
                <wp:positionH relativeFrom="column">
                  <wp:posOffset>3472180</wp:posOffset>
                </wp:positionH>
                <wp:positionV relativeFrom="paragraph">
                  <wp:posOffset>12700</wp:posOffset>
                </wp:positionV>
                <wp:extent cx="1485900" cy="594360"/>
                <wp:effectExtent l="0" t="0" r="0" b="15240"/>
                <wp:wrapNone/>
                <wp:docPr id="1" name="文本框 7"/>
                <a:graphic xmlns:a="http://schemas.openxmlformats.org/drawingml/2006/main">
                  <a:graphicData uri="http://schemas.microsoft.com/office/word/2010/wordprocessingShape">
                    <wps:wsp>
                      <wps:cNvSpPr/>
                      <wps:spPr>
                        <a:xfrm>
                          <a:off x="0" y="0"/>
                          <a:ext cx="1486080" cy="594360"/>
                        </a:xfrm>
                        <a:prstGeom prst="rect">
                          <a:avLst/>
                        </a:prstGeom>
                        <a:solidFill>
                          <a:srgbClr val="ffffff"/>
                        </a:solidFill>
                        <a:ln w="0">
                          <a:noFill/>
                        </a:ln>
                      </wps:spPr>
                      <wps:style>
                        <a:lnRef idx="0"/>
                        <a:fillRef idx="0"/>
                        <a:effectRef idx="0"/>
                        <a:fontRef idx="minor"/>
                      </wps:style>
                      <wps:txbx>
                        <w:txbxContent>
                          <w:p>
                            <w:pPr>
                              <w:pStyle w:val="Style20"/>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0"/>
                              <w:ind w:firstLine="240"/>
                              <w:rPr/>
                            </w:pPr>
                            <w:r>
                              <w:rPr>
                                <w:rFonts w:ascii="宋体" w:hAnsi="宋体"/>
                                <w:sz w:val="24"/>
                              </w:rPr>
                              <w:t>分 类 号：</w:t>
                            </w:r>
                          </w:p>
                        </w:txbxContent>
                      </wps:txbx>
                      <wps:bodyPr anchor="t" upright="1">
                        <a:noAutofit/>
                      </wps:bodyPr>
                    </wps:wsp>
                  </a:graphicData>
                </a:graphic>
              </wp:anchor>
            </w:drawing>
          </mc:Choice>
          <mc:Fallback>
            <w:pict>
              <v:rect id="shape_0" ID="文本框 7" path="m0,0l-2147483645,0l-2147483645,-2147483646l0,-2147483646xe" fillcolor="white" stroked="f" o:allowincell="f" style="position:absolute;margin-left:273.4pt;margin-top:1pt;width:116.95pt;height:46.75pt;mso-wrap-style:square;v-text-anchor:top" wp14:anchorId="754BEE5F">
                <v:fill o:detectmouseclick="t" type="solid" color2="black"/>
                <v:stroke color="#3465a4" joinstyle="round" endcap="flat"/>
                <v:textbox>
                  <w:txbxContent>
                    <w:p>
                      <w:pPr>
                        <w:pStyle w:val="Style20"/>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0"/>
                        <w:ind w:firstLine="240"/>
                        <w:rPr/>
                      </w:pPr>
                      <w:r>
                        <w:rPr>
                          <w:rFonts w:ascii="宋体" w:hAnsi="宋体"/>
                          <w:sz w:val="24"/>
                        </w:rPr>
                        <w:t>分 类 号：</w:t>
                      </w:r>
                    </w:p>
                  </w:txbxContent>
                </v:textbox>
                <w10:wrap type="none"/>
              </v:rect>
            </w:pict>
          </mc:Fallback>
        </mc:AlternateContent>
      </w:r>
    </w:p>
    <w:p>
      <w:pPr>
        <w:pStyle w:val="Normal"/>
        <w:spacing w:lineRule="auto" w:line="360"/>
        <w:ind w:firstLine="4320"/>
        <w:rPr>
          <w:rFonts w:ascii="宋体" w:hAnsi="宋体"/>
        </w:rPr>
      </w:pPr>
      <w:r>
        <w:rPr>
          <w:rFonts w:ascii="宋体" w:hAnsi="宋体"/>
        </w:rPr>
        <w:drawing>
          <wp:anchor behindDoc="0" distT="0" distB="0" distL="114300" distR="114300" simplePos="0" locked="0" layoutInCell="0" allowOverlap="1" relativeHeight="36">
            <wp:simplePos x="0" y="0"/>
            <wp:positionH relativeFrom="column">
              <wp:posOffset>-121920</wp:posOffset>
            </wp:positionH>
            <wp:positionV relativeFrom="paragraph">
              <wp:posOffset>63500</wp:posOffset>
            </wp:positionV>
            <wp:extent cx="1213485" cy="1081405"/>
            <wp:effectExtent l="0" t="0" r="0" b="0"/>
            <wp:wrapSquare wrapText="bothSides"/>
            <wp:docPr id="2"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校徽"/>
                    <pic:cNvPicPr>
                      <a:picLocks noChangeAspect="1" noChangeArrowheads="1"/>
                    </pic:cNvPicPr>
                  </pic:nvPicPr>
                  <pic:blipFill>
                    <a:blip r:embed="rId2"/>
                    <a:stretch>
                      <a:fillRect/>
                    </a:stretch>
                  </pic:blipFill>
                  <pic:spPr bwMode="auto">
                    <a:xfrm>
                      <a:off x="0" y="0"/>
                      <a:ext cx="1213485" cy="1081405"/>
                    </a:xfrm>
                    <a:prstGeom prst="rect">
                      <a:avLst/>
                    </a:prstGeom>
                    <a:noFill/>
                  </pic:spPr>
                </pic:pic>
              </a:graphicData>
            </a:graphic>
          </wp:anchor>
        </w:drawing>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900"/>
        <w:jc w:val="center"/>
        <w:rPr>
          <w:rFonts w:ascii="楷体_GB2312" w:hAnsi="楷体_GB2312" w:eastAsia="楷体_GB2312"/>
          <w:sz w:val="30"/>
          <w:szCs w:val="30"/>
        </w:rPr>
      </w:pPr>
      <w:r>
        <w:rPr>
          <w:rFonts w:eastAsia="楷体_GB2312" w:ascii="楷体_GB2312" w:hAnsi="楷体_GB2312"/>
          <w:sz w:val="30"/>
          <w:szCs w:val="30"/>
        </w:rPr>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640"/>
        <w:jc w:val="center"/>
        <w:rPr>
          <w:rFonts w:ascii="华文中宋" w:hAnsi="华文中宋" w:eastAsia="华文中宋"/>
        </w:rPr>
      </w:pPr>
      <w:r>
        <w:rPr>
          <w:rFonts w:ascii="华文中宋" w:hAnsi="华文中宋" w:eastAsia="华文中宋"/>
          <w:sz w:val="32"/>
          <w:szCs w:val="32"/>
        </w:rPr>
        <w:t>医学 硕士学位 论文</w:t>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BodyText"/>
        <w:ind w:firstLine="880"/>
        <w:jc w:val="center"/>
        <w:rPr>
          <w:rFonts w:ascii="华文中宋" w:hAnsi="华文中宋" w:eastAsia="华文中宋"/>
          <w:sz w:val="44"/>
          <w:szCs w:val="36"/>
        </w:rPr>
      </w:pPr>
      <w:r>
        <w:rPr>
          <w:rFonts w:ascii="华文中宋" w:hAnsi="华文中宋" w:eastAsia="华文中宋"/>
          <w:sz w:val="44"/>
          <w:szCs w:val="36"/>
        </w:rPr>
        <w:t>微钛板间距对下颌升支骨折固定术稳定性影响的有限元分析</w:t>
      </w:r>
    </w:p>
    <w:p>
      <w:pPr>
        <w:pStyle w:val="Normal"/>
        <w:spacing w:lineRule="auto" w:line="360"/>
        <w:ind w:firstLine="600"/>
        <w:jc w:val="center"/>
        <w:rPr>
          <w:rFonts w:ascii="宋体" w:hAnsi="宋体"/>
          <w:sz w:val="36"/>
          <w:szCs w:val="36"/>
        </w:rPr>
      </w:pPr>
      <w:r>
        <w:rPr>
          <w:rFonts w:ascii="华文中宋" w:hAnsi="华文中宋" w:eastAsia="华文中宋"/>
          <w:sz w:val="30"/>
          <w:szCs w:val="30"/>
        </w:rPr>
        <w:t xml:space="preserve">  </w:t>
      </w:r>
    </w:p>
    <w:p>
      <w:pPr>
        <w:sectPr>
          <w:footerReference w:type="even" r:id="rId3"/>
          <w:footerReference w:type="default" r:id="rId4"/>
          <w:footerReference w:type="first" r:id="rId5"/>
          <w:type w:val="nextPage"/>
          <w:pgSz w:w="11906" w:h="16838"/>
          <w:pgMar w:left="1800" w:right="1800" w:gutter="0" w:header="0" w:top="1440" w:footer="992" w:bottom="1440"/>
          <w:pgNumType w:fmt="decimal"/>
          <w:formProt w:val="false"/>
          <w:textDirection w:val="lrTb"/>
          <w:docGrid w:type="lines" w:linePitch="312" w:charSpace="0"/>
        </w:sectPr>
        <w:pStyle w:val="Normal"/>
        <w:widowControl/>
        <w:ind w:firstLine="601"/>
        <w:jc w:val="center"/>
        <w:rPr>
          <w:b/>
          <w:bCs/>
          <w:sz w:val="30"/>
          <w:szCs w:val="30"/>
        </w:rPr>
      </w:pPr>
      <w:r>
        <w:rPr>
          <w:b/>
          <w:bCs/>
          <w:sz w:val="30"/>
          <w:szCs w:val="30"/>
        </w:rPr>
        <w:t>Finite element analysis of the influence of micro-titanium plate spacing on the fixation stability of mandibular ramus fracture</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0</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t>5</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医</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硕</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士</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位</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论</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文</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sectPr>
          <w:footerReference w:type="default" r:id="rId6"/>
          <w:footerReference w:type="first" r:id="rId7"/>
          <w:type w:val="nextPage"/>
          <w:pgSz w:w="11906" w:h="16838"/>
          <w:pgMar w:left="1800" w:right="1800" w:gutter="0" w:header="0" w:top="1440" w:footer="992" w:bottom="1440"/>
          <w:pgNumType w:fmt="decimal"/>
          <w:formProt w:val="false"/>
          <w:textDirection w:val="lrTb"/>
          <w:docGrid w:type="lines" w:linePitch="312" w:charSpace="0"/>
        </w:sect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500"/>
        <w:ind w:firstLine="480"/>
        <w:rPr>
          <w:sz w:val="24"/>
        </w:rPr>
      </w:pPr>
      <w:r>
        <mc:AlternateContent>
          <mc:Choice Requires="wps">
            <w:drawing>
              <wp:anchor behindDoc="0" distT="4445" distB="5080" distL="4445" distR="5080" simplePos="0" locked="0" layoutInCell="1" allowOverlap="1" relativeHeight="39" wp14:anchorId="2CE02881">
                <wp:simplePos x="0" y="0"/>
                <wp:positionH relativeFrom="column">
                  <wp:posOffset>800100</wp:posOffset>
                </wp:positionH>
                <wp:positionV relativeFrom="paragraph">
                  <wp:posOffset>202565</wp:posOffset>
                </wp:positionV>
                <wp:extent cx="1714500" cy="635"/>
                <wp:effectExtent l="4445" t="4445" r="5080" b="5080"/>
                <wp:wrapNone/>
                <wp:docPr id="6" name="直接连接符 19"/>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15.95pt" to="197.95pt,15.95pt" ID="直接连接符 19" stroked="t" o:allowincell="f" style="position:absolute" wp14:anchorId="2CE02881">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40" wp14:anchorId="6C41D5A9">
                <wp:simplePos x="0" y="0"/>
                <wp:positionH relativeFrom="column">
                  <wp:posOffset>3657600</wp:posOffset>
                </wp:positionH>
                <wp:positionV relativeFrom="paragraph">
                  <wp:posOffset>202565</wp:posOffset>
                </wp:positionV>
                <wp:extent cx="1714500" cy="635"/>
                <wp:effectExtent l="4445" t="4445" r="5080" b="5080"/>
                <wp:wrapNone/>
                <wp:docPr id="7" name="直接连接符 20"/>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15.95pt" to="422.95pt,15.95pt" ID="直接连接符 20" stroked="t" o:allowincell="f" style="position:absolute" wp14:anchorId="6C41D5A9">
                <v:stroke color="black" weight="9360" dashstyle="shortdot" joinstyle="round" endcap="round"/>
                <v:fill o:detectmouseclick="t" on="false"/>
                <w10:wrap type="none"/>
              </v:line>
            </w:pict>
          </mc:Fallback>
        </mc:AlternateContent>
      </w:r>
      <w:r>
        <w:rPr>
          <w:sz w:val="24"/>
        </w:rPr>
        <w:t xml:space="preserve">分类号                                 密级 </w:t>
      </w:r>
      <w:r>
        <w:rPr>
          <w:sz w:val="24"/>
          <w:bdr w:val="single" w:sz="4" w:space="0" w:color="000000"/>
        </w:rPr>
        <w:t xml:space="preserve">      </w:t>
      </w:r>
    </w:p>
    <w:p>
      <w:pPr>
        <w:pStyle w:val="Normal"/>
        <w:spacing w:lineRule="exact" w:line="500"/>
        <w:ind w:firstLine="480"/>
        <w:rPr>
          <w:sz w:val="24"/>
        </w:rPr>
      </w:pPr>
      <w:r>
        <w:rPr>
          <w:sz w:val="24"/>
        </w:rPr>
        <w:t xml:space="preserve">U D C                                  </w:t>
      </w:r>
      <w:r>
        <w:rPr>
          <w:sz w:val="24"/>
        </w:rPr>
        <w:t xml:space="preserve">学号    </w:t>
      </w:r>
      <w:r>
        <w:rPr>
          <w:sz w:val="24"/>
        </w:rPr>
        <w:t>2022050817</w:t>
      </w:r>
    </w:p>
    <w:p>
      <w:pPr>
        <w:pStyle w:val="Normal"/>
        <w:spacing w:lineRule="exact" w:line="500"/>
        <w:ind w:firstLine="480"/>
        <w:rPr>
          <w:sz w:val="24"/>
        </w:rPr>
      </w:pPr>
      <w:r>
        <w:rPr>
          <w:sz w:val="24"/>
        </w:rPr>
        <mc:AlternateContent>
          <mc:Choice Requires="wps">
            <w:drawing>
              <wp:anchor behindDoc="0" distT="4445" distB="5080" distL="4445" distR="5080" simplePos="0" locked="0" layoutInCell="1" allowOverlap="1" relativeHeight="41" wp14:anchorId="3F5DE5C3">
                <wp:simplePos x="0" y="0"/>
                <wp:positionH relativeFrom="column">
                  <wp:posOffset>800100</wp:posOffset>
                </wp:positionH>
                <wp:positionV relativeFrom="paragraph">
                  <wp:posOffset>-7620</wp:posOffset>
                </wp:positionV>
                <wp:extent cx="1714500" cy="635"/>
                <wp:effectExtent l="4445" t="4445" r="5080" b="5080"/>
                <wp:wrapNone/>
                <wp:docPr id="8" name="直接连接符 17"/>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0.6pt" to="197.95pt,-0.6pt" ID="直接连接符 17" stroked="t" o:allowincell="f" style="position:absolute" wp14:anchorId="3F5DE5C3">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42" wp14:anchorId="4B232C5E">
                <wp:simplePos x="0" y="0"/>
                <wp:positionH relativeFrom="column">
                  <wp:posOffset>3657600</wp:posOffset>
                </wp:positionH>
                <wp:positionV relativeFrom="paragraph">
                  <wp:posOffset>-7620</wp:posOffset>
                </wp:positionV>
                <wp:extent cx="1714500" cy="635"/>
                <wp:effectExtent l="4445" t="4445" r="5080" b="5080"/>
                <wp:wrapNone/>
                <wp:docPr id="9" name="直接连接符 18"/>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0.6pt" to="422.95pt,-0.6pt" ID="直接连接符 18" stroked="t" o:allowincell="f" style="position:absolute" wp14:anchorId="4B232C5E">
                <v:stroke color="black" weight="9360" dashstyle="shortdot" joinstyle="round" endcap="round"/>
                <v:fill o:detectmouseclick="t" on="false"/>
                <w10:wrap type="none"/>
              </v:line>
            </w:pict>
          </mc:Fallback>
        </mc:AlternateContent>
      </w:r>
    </w:p>
    <w:p>
      <w:pPr>
        <w:pStyle w:val="Normal"/>
        <w:spacing w:lineRule="exact" w:line="500"/>
        <w:ind w:firstLine="480"/>
        <w:rPr>
          <w:sz w:val="24"/>
        </w:rPr>
      </w:pPr>
      <w:r>
        <w:rPr>
          <w:sz w:val="24"/>
        </w:rPr>
      </w:r>
    </w:p>
    <w:p>
      <w:pPr>
        <w:pStyle w:val="Normal"/>
        <w:spacing w:lineRule="exact" w:line="500"/>
        <w:ind w:firstLine="1120"/>
        <w:jc w:val="center"/>
        <w:rPr>
          <w:rFonts w:ascii="隶书" w:hAnsi="隶书" w:eastAsia="隶书"/>
          <w:sz w:val="56"/>
          <w:szCs w:val="56"/>
        </w:rPr>
      </w:pPr>
      <w:r>
        <w:rPr>
          <w:rFonts w:ascii="隶书" w:hAnsi="隶书" w:eastAsia="隶书"/>
          <w:sz w:val="56"/>
          <w:szCs w:val="56"/>
        </w:rPr>
        <w:t>延边大学硕士学位论文</w:t>
      </w:r>
    </w:p>
    <w:p>
      <w:pPr>
        <w:pStyle w:val="Normal"/>
        <w:spacing w:lineRule="exact" w:line="500"/>
        <w:ind w:firstLine="480"/>
        <w:jc w:val="center"/>
        <w:rPr>
          <w:sz w:val="24"/>
        </w:rPr>
      </w:pPr>
      <w:r>
        <w:rPr>
          <w:sz w:val="24"/>
        </w:rPr>
      </w:r>
    </w:p>
    <w:p>
      <w:pPr>
        <w:pStyle w:val="Normal"/>
        <w:spacing w:lineRule="auto" w:line="360"/>
        <w:ind w:firstLine="480"/>
        <w:jc w:val="center"/>
        <w:rPr>
          <w:sz w:val="24"/>
        </w:rPr>
      </w:pPr>
      <w:r>
        <w:rPr>
          <w:sz w:val="24"/>
        </w:rPr>
      </w:r>
    </w:p>
    <w:p>
      <w:pPr>
        <w:pStyle w:val="BodyText"/>
        <w:ind w:firstLine="1040"/>
        <w:jc w:val="center"/>
        <w:rPr>
          <w:rFonts w:ascii="宋体" w:hAnsi="宋体"/>
          <w:sz w:val="52"/>
          <w:szCs w:val="52"/>
        </w:rPr>
      </w:pPr>
      <w:r>
        <w:rPr>
          <w:rFonts w:ascii="宋体" w:hAnsi="宋体"/>
          <w:sz w:val="52"/>
          <w:szCs w:val="52"/>
        </w:rPr>
        <w:t>微钛板间距对下颌升支骨折固定术稳定性影响的有限元分析</w:t>
      </w:r>
    </w:p>
    <w:p>
      <w:pPr>
        <w:pStyle w:val="Normal"/>
        <w:spacing w:lineRule="exact" w:line="500"/>
        <w:ind w:firstLine="480"/>
        <w:rPr>
          <w:sz w:val="24"/>
        </w:rPr>
      </w:pPr>
      <w:r>
        <w:rPr>
          <w:sz w:val="24"/>
        </w:rPr>
      </w:r>
    </w:p>
    <w:p>
      <w:pPr>
        <w:pStyle w:val="Normal"/>
        <w:spacing w:lineRule="exact" w:line="500"/>
        <w:ind w:firstLine="480"/>
        <w:rPr>
          <w:sz w:val="24"/>
        </w:rPr>
      </w:pPr>
      <w:r>
        <w:rPr>
          <w:sz w:val="24"/>
        </w:rPr>
      </w:r>
    </w:p>
    <w:p>
      <w:pPr>
        <w:pStyle w:val="Normal"/>
        <w:spacing w:lineRule="exact" w:line="500"/>
        <w:ind w:firstLine="1280" w:left="840"/>
        <w:rPr>
          <w:rFonts w:ascii="隶书" w:hAnsi="隶书" w:eastAsia="隶书"/>
          <w:spacing w:val="160"/>
          <w:sz w:val="32"/>
        </w:rPr>
      </w:pPr>
      <w:r>
        <w:rPr>
          <w:rFonts w:eastAsia="隶书" w:ascii="隶书" w:hAnsi="隶书"/>
          <w:spacing w:val="160"/>
          <w:sz w:val="32"/>
        </w:rPr>
      </w:r>
    </w:p>
    <w:p>
      <w:pPr>
        <w:pStyle w:val="Normal"/>
        <w:spacing w:lineRule="exact" w:line="500"/>
        <w:ind w:left="840"/>
        <w:rPr>
          <w:rFonts w:ascii="楷体" w:hAnsi="楷体" w:eastAsia="楷体" w:cs="楷体"/>
          <w:sz w:val="32"/>
          <w:szCs w:val="32"/>
          <w:u w:val="single"/>
        </w:rPr>
      </w:pPr>
      <w:r>
        <mc:AlternateContent>
          <mc:Choice Requires="wps">
            <w:drawing>
              <wp:anchor behindDoc="0" distT="4445" distB="5080" distL="4445" distR="5080" simplePos="0" locked="0" layoutInCell="1" allowOverlap="1" relativeHeight="43" wp14:anchorId="2421F030">
                <wp:simplePos x="0" y="0"/>
                <wp:positionH relativeFrom="column">
                  <wp:posOffset>2514600</wp:posOffset>
                </wp:positionH>
                <wp:positionV relativeFrom="paragraph">
                  <wp:posOffset>332105</wp:posOffset>
                </wp:positionV>
                <wp:extent cx="2286000" cy="635"/>
                <wp:effectExtent l="4445" t="4445" r="5080" b="5080"/>
                <wp:wrapNone/>
                <wp:docPr id="10" name="直接连接符 14"/>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4" stroked="t" o:allowincell="f" style="position:absolute" wp14:anchorId="2421F030">
                <v:stroke color="black" weight="9360" dashstyle="shortdot" joinstyle="round" endcap="round"/>
                <v:fill o:detectmouseclick="t" on="false"/>
                <w10:wrap type="none"/>
              </v:line>
            </w:pict>
          </mc:Fallback>
        </mc:AlternateContent>
      </w:r>
      <w:r>
        <w:rPr>
          <w:rFonts w:ascii="隶书" w:hAnsi="隶书" w:eastAsia="隶书"/>
          <w:spacing w:val="160"/>
          <w:sz w:val="32"/>
        </w:rPr>
        <w:t>研究生姓名</w:t>
      </w:r>
      <w:r>
        <w:rPr>
          <w:rFonts w:ascii="隶书" w:hAnsi="隶书" w:eastAsia="隶书"/>
          <w:sz w:val="32"/>
          <w:szCs w:val="32"/>
        </w:rPr>
        <w:t xml:space="preserve">     </w:t>
      </w:r>
      <w:r>
        <w:rPr>
          <w:rFonts w:ascii="楷体" w:hAnsi="楷体" w:eastAsia="楷体"/>
          <w:sz w:val="32"/>
          <w:szCs w:val="32"/>
        </w:rPr>
        <w:t xml:space="preserve">  </w:t>
      </w:r>
      <w:r>
        <w:rPr>
          <w:rFonts w:ascii="隶书" w:hAnsi="隶书" w:eastAsia="隶书"/>
          <w:sz w:val="32"/>
          <w:szCs w:val="32"/>
        </w:rPr>
        <w:t xml:space="preserve"> </w:t>
      </w:r>
      <w:r>
        <w:rPr>
          <w:rFonts w:ascii="楷体" w:hAnsi="楷体" w:cs="楷体" w:eastAsia="楷体"/>
          <w:sz w:val="32"/>
          <w:szCs w:val="32"/>
        </w:rPr>
        <w:t>唐睿泽</w:t>
      </w:r>
    </w:p>
    <w:p>
      <w:pPr>
        <w:pStyle w:val="Normal"/>
        <w:spacing w:lineRule="exact" w:line="500"/>
        <w:ind w:left="840"/>
        <w:rPr>
          <w:rFonts w:ascii="楷体" w:hAnsi="楷体" w:eastAsia="楷体" w:cs="楷体"/>
          <w:spacing w:val="10"/>
          <w:sz w:val="32"/>
        </w:rPr>
      </w:pPr>
      <w:r>
        <mc:AlternateContent>
          <mc:Choice Requires="wps">
            <w:drawing>
              <wp:anchor behindDoc="0" distT="4445" distB="5080" distL="4445" distR="5080" simplePos="0" locked="0" layoutInCell="1" allowOverlap="1" relativeHeight="44" wp14:anchorId="66FF4E2A">
                <wp:simplePos x="0" y="0"/>
                <wp:positionH relativeFrom="column">
                  <wp:posOffset>2514600</wp:posOffset>
                </wp:positionH>
                <wp:positionV relativeFrom="paragraph">
                  <wp:posOffset>332105</wp:posOffset>
                </wp:positionV>
                <wp:extent cx="2286000" cy="635"/>
                <wp:effectExtent l="4445" t="4445" r="5080" b="5080"/>
                <wp:wrapNone/>
                <wp:docPr id="11" name="直接连接符 13"/>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3" stroked="t" o:allowincell="f" style="position:absolute" wp14:anchorId="66FF4E2A">
                <v:stroke color="black" weight="9360" dashstyle="shortdot" joinstyle="round" endcap="round"/>
                <v:fill o:detectmouseclick="t" on="false"/>
                <w10:wrap type="none"/>
              </v:line>
            </w:pict>
          </mc:Fallback>
        </mc:AlternateContent>
      </w:r>
      <w:r>
        <w:rPr>
          <w:rFonts w:ascii="隶书" w:hAnsi="隶书" w:eastAsia="隶书"/>
          <w:spacing w:val="10"/>
          <w:sz w:val="32"/>
        </w:rPr>
        <w:t>培</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养</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单</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位  </w:t>
      </w:r>
      <w:r>
        <w:rPr>
          <w:rFonts w:ascii="隶书" w:hAnsi="隶书" w:eastAsia="隶书"/>
          <w:sz w:val="32"/>
          <w:szCs w:val="32"/>
        </w:rPr>
        <w:t xml:space="preserve">      </w:t>
      </w:r>
      <w:r>
        <w:rPr>
          <w:rFonts w:ascii="楷体" w:hAnsi="楷体" w:cs="楷体" w:eastAsia="楷体"/>
          <w:sz w:val="32"/>
          <w:szCs w:val="32"/>
        </w:rPr>
        <w:t xml:space="preserve"> 延边大学</w:t>
      </w:r>
    </w:p>
    <w:p>
      <w:pPr>
        <w:pStyle w:val="Normal"/>
        <w:spacing w:lineRule="exact" w:line="500"/>
        <w:ind w:left="840"/>
        <w:rPr>
          <w:rFonts w:ascii="隶书" w:hAnsi="隶书" w:eastAsia="隶书"/>
          <w:spacing w:val="10"/>
          <w:sz w:val="32"/>
        </w:rPr>
      </w:pPr>
      <w:r>
        <mc:AlternateContent>
          <mc:Choice Requires="wps">
            <w:drawing>
              <wp:anchor behindDoc="0" distT="4445" distB="5080" distL="4445" distR="5080" simplePos="0" locked="0" layoutInCell="1" allowOverlap="1" relativeHeight="45" wp14:anchorId="55CF5CC7">
                <wp:simplePos x="0" y="0"/>
                <wp:positionH relativeFrom="column">
                  <wp:posOffset>2514600</wp:posOffset>
                </wp:positionH>
                <wp:positionV relativeFrom="paragraph">
                  <wp:posOffset>332105</wp:posOffset>
                </wp:positionV>
                <wp:extent cx="2286000" cy="635"/>
                <wp:effectExtent l="4445" t="4445" r="5080" b="5080"/>
                <wp:wrapNone/>
                <wp:docPr id="12" name="直接连接符 1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2" stroked="t" o:allowincell="f" style="position:absolute" wp14:anchorId="55CF5CC7">
                <v:stroke color="black" weight="9360" dashstyle="shortdot" joinstyle="round" endcap="round"/>
                <v:fill o:detectmouseclick="t" on="false"/>
                <w10:wrap type="none"/>
              </v:line>
            </w:pict>
          </mc:Fallback>
        </mc:AlternateContent>
      </w:r>
      <w:r>
        <w:rPr>
          <w:rFonts w:ascii="隶书" w:hAnsi="隶书" w:eastAsia="隶书"/>
          <w:sz w:val="32"/>
        </w:rPr>
        <w:t xml:space="preserve">指导教师姓名、职称  </w:t>
      </w:r>
      <w:r>
        <w:rPr>
          <w:rFonts w:ascii="隶书" w:hAnsi="隶书" w:eastAsia="隶书"/>
          <w:sz w:val="32"/>
          <w:szCs w:val="32"/>
        </w:rPr>
        <w:t xml:space="preserve">     </w:t>
      </w:r>
      <w:r>
        <w:rPr>
          <w:rFonts w:ascii="楷体" w:hAnsi="楷体" w:cs="楷体" w:eastAsia="楷体"/>
          <w:sz w:val="32"/>
          <w:szCs w:val="32"/>
        </w:rPr>
        <w:t>李京旭 副教授</w:t>
      </w:r>
    </w:p>
    <w:p>
      <w:pPr>
        <w:pStyle w:val="Normal"/>
        <w:spacing w:lineRule="exact" w:line="500"/>
        <w:ind w:left="840"/>
        <w:rPr>
          <w:rFonts w:eastAsia="隶书"/>
          <w:sz w:val="24"/>
        </w:rPr>
      </w:pPr>
      <w:r>
        <mc:AlternateContent>
          <mc:Choice Requires="wps">
            <w:drawing>
              <wp:anchor behindDoc="0" distT="4445" distB="5080" distL="4445" distR="5080" simplePos="0" locked="0" layoutInCell="1" allowOverlap="1" relativeHeight="46" wp14:anchorId="6CD23F9F">
                <wp:simplePos x="0" y="0"/>
                <wp:positionH relativeFrom="column">
                  <wp:posOffset>2514600</wp:posOffset>
                </wp:positionH>
                <wp:positionV relativeFrom="paragraph">
                  <wp:posOffset>332105</wp:posOffset>
                </wp:positionV>
                <wp:extent cx="2286000" cy="635"/>
                <wp:effectExtent l="4445" t="4445" r="5080" b="5080"/>
                <wp:wrapNone/>
                <wp:docPr id="13" name="直接连接符 11"/>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1" stroked="t" o:allowincell="f" style="position:absolute" wp14:anchorId="6CD23F9F">
                <v:stroke color="black" weight="9360" dashstyle="shortdot" joinstyle="round" endcap="round"/>
                <v:fill o:detectmouseclick="t" on="false"/>
                <w10:wrap type="none"/>
              </v:line>
            </w:pict>
          </mc:Fallback>
        </mc:AlternateContent>
      </w:r>
      <w:r>
        <w:rPr>
          <w:rFonts w:ascii="隶书" w:hAnsi="隶书" w:eastAsia="隶书"/>
          <w:spacing w:val="10"/>
          <w:sz w:val="32"/>
        </w:rPr>
        <w:t>学</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科</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专</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业  </w:t>
      </w:r>
      <w:r>
        <w:rPr>
          <w:rFonts w:ascii="隶书" w:hAnsi="隶书" w:eastAsia="隶书"/>
          <w:sz w:val="32"/>
          <w:szCs w:val="32"/>
        </w:rPr>
        <w:t xml:space="preserve">     </w:t>
      </w:r>
      <w:r>
        <w:rPr>
          <w:rFonts w:ascii="楷体_GB2312" w:hAnsi="楷体_GB2312" w:eastAsia="楷体_GB2312"/>
          <w:sz w:val="32"/>
          <w:szCs w:val="32"/>
        </w:rPr>
        <w:t xml:space="preserve"> </w:t>
      </w:r>
      <w:r>
        <w:rPr>
          <w:rFonts w:ascii="隶书" w:hAnsi="隶书" w:eastAsia="隶书"/>
          <w:sz w:val="32"/>
          <w:szCs w:val="32"/>
        </w:rPr>
        <w:t xml:space="preserve"> </w:t>
      </w:r>
      <w:r>
        <w:rPr>
          <w:rFonts w:ascii="楷体" w:hAnsi="楷体" w:cs="楷体" w:eastAsia="楷体"/>
          <w:sz w:val="32"/>
          <w:szCs w:val="32"/>
        </w:rPr>
        <w:t>口腔医学</w:t>
      </w:r>
    </w:p>
    <w:p>
      <w:pPr>
        <w:pStyle w:val="Normal"/>
        <w:spacing w:lineRule="exact" w:line="500"/>
        <w:ind w:left="840"/>
        <w:rPr>
          <w:rFonts w:ascii="楷体" w:hAnsi="楷体" w:eastAsia="楷体" w:cs="楷体"/>
          <w:sz w:val="24"/>
        </w:rPr>
      </w:pPr>
      <w:r>
        <mc:AlternateContent>
          <mc:Choice Requires="wps">
            <w:drawing>
              <wp:anchor behindDoc="0" distT="4445" distB="5080" distL="4445" distR="5080" simplePos="0" locked="0" layoutInCell="1" allowOverlap="1" relativeHeight="47" wp14:anchorId="161C9A47">
                <wp:simplePos x="0" y="0"/>
                <wp:positionH relativeFrom="column">
                  <wp:posOffset>2514600</wp:posOffset>
                </wp:positionH>
                <wp:positionV relativeFrom="paragraph">
                  <wp:posOffset>332105</wp:posOffset>
                </wp:positionV>
                <wp:extent cx="2286000" cy="635"/>
                <wp:effectExtent l="4445" t="4445" r="5080" b="5080"/>
                <wp:wrapNone/>
                <wp:docPr id="14" name="直接连接符 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2" stroked="t" o:allowincell="f" style="position:absolute" wp14:anchorId="161C9A47">
                <v:stroke color="black" weight="9360" dashstyle="shortdot" joinstyle="round" endcap="round"/>
                <v:fill o:detectmouseclick="t" on="false"/>
                <w10:wrap type="none"/>
              </v:line>
            </w:pict>
          </mc:Fallback>
        </mc:AlternateContent>
      </w:r>
      <w:r>
        <w:rPr>
          <w:rFonts w:ascii="隶书" w:hAnsi="隶书" w:eastAsia="隶书"/>
          <w:spacing w:val="10"/>
          <w:sz w:val="32"/>
        </w:rPr>
        <w:t>研</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究</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方</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向  </w:t>
      </w:r>
      <w:r>
        <w:rPr>
          <w:rFonts w:ascii="隶书" w:hAnsi="隶书" w:eastAsia="隶书"/>
          <w:sz w:val="32"/>
          <w:szCs w:val="32"/>
        </w:rPr>
        <w:t xml:space="preserve">     </w:t>
      </w:r>
      <w:r>
        <w:rPr>
          <w:rFonts w:ascii="楷体" w:hAnsi="楷体" w:cs="楷体" w:eastAsia="楷体"/>
          <w:sz w:val="32"/>
          <w:szCs w:val="32"/>
        </w:rPr>
        <w:t>口腔颌面外科</w:t>
      </w:r>
    </w:p>
    <w:p>
      <w:pPr>
        <w:pStyle w:val="Normal"/>
        <w:spacing w:lineRule="exact" w:line="500"/>
        <w:ind w:left="840"/>
        <w:rPr>
          <w:rFonts w:ascii="楷体_GB2312" w:hAnsi="楷体_GB2312" w:eastAsia="隶书"/>
          <w:sz w:val="32"/>
          <w:szCs w:val="32"/>
          <w:u w:val="single"/>
        </w:rPr>
      </w:pPr>
      <w:r>
        <mc:AlternateContent>
          <mc:Choice Requires="wps">
            <w:drawing>
              <wp:anchor behindDoc="0" distT="4445" distB="5080" distL="4445" distR="5080" simplePos="0" locked="0" layoutInCell="1" allowOverlap="1" relativeHeight="48" wp14:anchorId="4BEA337C">
                <wp:simplePos x="0" y="0"/>
                <wp:positionH relativeFrom="column">
                  <wp:posOffset>2514600</wp:posOffset>
                </wp:positionH>
                <wp:positionV relativeFrom="paragraph">
                  <wp:posOffset>332105</wp:posOffset>
                </wp:positionV>
                <wp:extent cx="2286000" cy="635"/>
                <wp:effectExtent l="4445" t="4445" r="5080" b="5080"/>
                <wp:wrapNone/>
                <wp:docPr id="15" name="直接连接符 5"/>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5" stroked="t" o:allowincell="f" style="position:absolute" wp14:anchorId="4BEA337C">
                <v:stroke color="black" weight="9360" dashstyle="shortdot" joinstyle="round" endcap="round"/>
                <v:fill o:detectmouseclick="t" on="false"/>
                <w10:wrap type="none"/>
              </v:line>
            </w:pict>
          </mc:Fallback>
        </mc:AlternateContent>
      </w:r>
      <w:r>
        <w:rPr>
          <w:rFonts w:ascii="隶书" w:hAnsi="隶书" w:eastAsia="隶书"/>
          <w:spacing w:val="90"/>
          <w:sz w:val="32"/>
        </w:rPr>
        <w:t>论文提交日期</w:t>
      </w:r>
      <w:r>
        <w:rPr>
          <w:rFonts w:ascii="隶书" w:hAnsi="隶书" w:eastAsia="隶书"/>
          <w:spacing w:val="90"/>
          <w:sz w:val="10"/>
          <w:szCs w:val="10"/>
        </w:rPr>
        <w:t xml:space="preserve"> </w:t>
      </w:r>
      <w:r>
        <w:rPr>
          <w:rFonts w:ascii="隶书" w:hAnsi="隶书" w:eastAsia="隶书"/>
          <w:sz w:val="32"/>
          <w:szCs w:val="32"/>
        </w:rPr>
        <w:t xml:space="preserve">      </w:t>
      </w:r>
      <w:r>
        <w:rPr>
          <w:rFonts w:eastAsia="楷体" w:cs="楷体" w:ascii="楷体" w:hAnsi="楷体"/>
          <w:sz w:val="32"/>
          <w:szCs w:val="32"/>
        </w:rPr>
        <w:t>2025</w:t>
      </w:r>
      <w:r>
        <w:rPr>
          <w:rFonts w:ascii="楷体" w:hAnsi="楷体" w:cs="楷体" w:eastAsia="楷体"/>
          <w:sz w:val="32"/>
          <w:szCs w:val="32"/>
        </w:rPr>
        <w:t>年月</w:t>
      </w:r>
    </w:p>
    <w:p>
      <w:pPr>
        <w:pStyle w:val="Normal"/>
        <w:spacing w:lineRule="exact" w:line="400"/>
        <w:ind w:firstLine="480"/>
        <w:rPr>
          <w:sz w:val="24"/>
        </w:rPr>
      </w:pPr>
      <w:r>
        <w:rPr>
          <w:sz w:val="24"/>
        </w:rPr>
      </w:r>
    </w:p>
    <w:p>
      <w:pPr>
        <w:pStyle w:val="Normal"/>
        <w:spacing w:lineRule="exact" w:line="400"/>
        <w:ind w:firstLine="480"/>
        <w:rPr>
          <w:sz w:val="24"/>
        </w:rPr>
      </w:pPr>
      <w:r>
        <w:rPr>
          <w:sz w:val="24"/>
        </w:rPr>
      </w:r>
    </w:p>
    <w:p>
      <w:pPr>
        <w:sectPr>
          <w:footerReference w:type="default" r:id="rId8"/>
          <w:footerReference w:type="first" r:id="rId9"/>
          <w:type w:val="nextPage"/>
          <w:pgSz w:w="11906" w:h="16838"/>
          <w:pgMar w:left="1800" w:right="1800" w:gutter="0" w:header="0" w:top="1440" w:footer="992" w:bottom="1440"/>
          <w:pgNumType w:fmt="decimal"/>
          <w:formProt w:val="false"/>
          <w:textDirection w:val="lrTb"/>
          <w:docGrid w:type="lines" w:linePitch="312" w:charSpace="0"/>
        </w:sectPr>
        <w:pStyle w:val="Normal"/>
        <w:ind w:firstLine="602"/>
        <w:jc w:val="center"/>
        <w:rPr>
          <w:b/>
          <w:bCs/>
          <w:sz w:val="30"/>
          <w:szCs w:val="30"/>
        </w:rPr>
      </w:pPr>
      <w:r>
        <w:rPr>
          <w:b/>
          <w:bCs/>
          <w:sz w:val="30"/>
          <w:szCs w:val="30"/>
        </w:rPr>
      </w:r>
    </w:p>
    <w:p>
      <w:pPr>
        <w:pStyle w:val="Normal"/>
        <w:spacing w:lineRule="auto" w:line="360"/>
        <w:jc w:val="center"/>
        <w:rPr>
          <w:rFonts w:ascii="华文中宋" w:hAnsi="华文中宋" w:eastAsia="华文中宋"/>
          <w:b/>
          <w:sz w:val="48"/>
          <w:szCs w:val="48"/>
        </w:rPr>
      </w:pPr>
      <w:r>
        <w:rPr>
          <w:rFonts w:ascii="华文中宋" w:hAnsi="华文中宋" w:eastAsia="华文中宋"/>
          <w:b/>
          <w:sz w:val="48"/>
          <w:szCs w:val="48"/>
        </w:rPr>
        <w:t>本论文已达到医学硕士学位论文要求</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jc w:val="center"/>
        <w:rPr>
          <w:rFonts w:ascii="华文中宋" w:hAnsi="华文中宋" w:eastAsia="华文中宋"/>
          <w:spacing w:val="20"/>
          <w:sz w:val="48"/>
          <w:szCs w:val="32"/>
        </w:rPr>
      </w:pPr>
      <w:r>
        <w:rPr>
          <w:rFonts w:ascii="华文中宋" w:hAnsi="华文中宋" w:eastAsia="华文中宋"/>
          <w:spacing w:val="20"/>
          <w:sz w:val="48"/>
          <w:szCs w:val="32"/>
        </w:rPr>
        <w:t xml:space="preserve"> </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答辩委员会主席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jc w:val="center"/>
        <w:rPr>
          <w:rFonts w:ascii="华文中宋" w:hAnsi="华文中宋" w:eastAsia="华文中宋"/>
          <w:sz w:val="32"/>
          <w:szCs w:val="32"/>
        </w:rPr>
      </w:pPr>
      <w:r>
        <w:rPr>
          <w:rFonts w:ascii="华文中宋" w:hAnsi="华文中宋" w:eastAsia="华文中宋"/>
          <w:sz w:val="32"/>
          <w:szCs w:val="32"/>
        </w:rPr>
        <w:t>延 边 大 学</w:t>
      </w:r>
    </w:p>
    <w:p>
      <w:pPr>
        <w:pStyle w:val="Normal"/>
        <w:jc w:val="center"/>
        <w:rPr>
          <w:rFonts w:ascii="华文中宋" w:hAnsi="华文中宋" w:eastAsia="华文中宋"/>
          <w:sz w:val="32"/>
          <w:szCs w:val="32"/>
        </w:rPr>
      </w:pPr>
      <w:r>
        <w:rPr>
          <w:rFonts w:eastAsia="华文中宋" w:ascii="华文中宋" w:hAnsi="华文中宋"/>
          <w:sz w:val="32"/>
          <w:szCs w:val="32"/>
        </w:rPr>
        <w:t xml:space="preserve">2025 </w:t>
      </w:r>
      <w:r>
        <w:rPr>
          <w:rFonts w:ascii="华文中宋" w:hAnsi="华文中宋" w:eastAsia="华文中宋"/>
          <w:sz w:val="32"/>
          <w:szCs w:val="32"/>
        </w:rPr>
        <w:t>年  月  日</w:t>
      </w:r>
    </w:p>
    <w:p>
      <w:pPr>
        <w:pStyle w:val="Normal"/>
        <w:jc w:val="center"/>
        <w:rPr>
          <w:rFonts w:ascii="华文中宋" w:hAnsi="华文中宋" w:eastAsia="华文中宋"/>
          <w:sz w:val="32"/>
          <w:szCs w:val="32"/>
        </w:rPr>
      </w:pPr>
      <w:r>
        <w:rPr>
          <w:rFonts w:eastAsia="华文中宋" w:ascii="华文中宋" w:hAnsi="华文中宋"/>
          <w:sz w:val="32"/>
          <w:szCs w:val="32"/>
        </w:rPr>
      </w:r>
      <w:r>
        <w:br w:type="page"/>
      </w:r>
    </w:p>
    <w:p>
      <w:pPr>
        <w:pStyle w:val="Normal"/>
        <w:spacing w:before="0" w:after="0"/>
        <w:jc w:val="center"/>
        <w:rPr>
          <w:rFonts w:ascii="华文中宋" w:hAnsi="华文中宋" w:eastAsia="华文中宋"/>
          <w:b/>
          <w:sz w:val="32"/>
          <w:szCs w:val="32"/>
        </w:rPr>
      </w:pPr>
      <w:r>
        <w:rPr>
          <w:rFonts w:ascii="华文中宋" w:hAnsi="华文中宋" w:eastAsia="华文中宋"/>
          <w:b/>
          <w:sz w:val="32"/>
          <w:szCs w:val="32"/>
        </w:rPr>
        <w:t>学位论文独创性声明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郑重声明：所呈交的学位论文系本人在导师指导下独立完成的研究成果。尽我所知，除了文中特别加以标记和致谢的部分外，论文中不包含其他人已经发表或撰写过的研究成果，也不包含本人为获得任何教育机构的学位或学历而使用过的材料。与我一同工作的同事对本研究所做的任何贡献均已在论文中作了明确的说明并表示谢意。</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本人如违反上述声明，愿意承担由此引发的一切责任和后果。</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   月   日</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jc w:val="center"/>
        <w:rPr>
          <w:rFonts w:ascii="华文中宋" w:hAnsi="华文中宋" w:eastAsia="华文中宋"/>
          <w:b/>
          <w:sz w:val="32"/>
          <w:szCs w:val="32"/>
        </w:rPr>
      </w:pPr>
      <w:r>
        <w:rPr>
          <w:rFonts w:ascii="华文中宋" w:hAnsi="华文中宋" w:eastAsia="华文中宋"/>
          <w:b/>
          <w:sz w:val="32"/>
          <w:szCs w:val="32"/>
        </w:rPr>
        <w:t>学位论文使用授权声明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在导师指导下所完成的学位论文，学校有权保存其电子和纸制文档，可以借阅或上网公布本学位论文的全部或部分内容，可以向有关部门或机构送交并授权其保存、借阅或上网公布本学位论文的全部或部分内容。对于保密论文，按保密的有关规定和程序处理。</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本学位论文属于：</w:t>
      </w:r>
    </w:p>
    <w:p>
      <w:pPr>
        <w:pStyle w:val="Normal"/>
        <w:spacing w:lineRule="auto" w:line="360"/>
        <w:ind w:firstLine="480"/>
        <w:rPr>
          <w:rFonts w:ascii="仿宋_GB2312" w:hAnsi="仿宋_GB2312" w:eastAsia="仿宋_GB2312"/>
          <w:sz w:val="24"/>
        </w:rPr>
      </w:pPr>
      <w:r>
        <w:rPr>
          <w:rFonts w:eastAsia="仿宋_GB2312" w:ascii="仿宋_GB2312" w:hAnsi="仿宋_GB2312"/>
          <w:sz w:val="24"/>
        </w:rPr>
        <w:t xml:space="preserve">1. </w:t>
      </w:r>
      <w:r>
        <w:rPr>
          <w:rFonts w:ascii="仿宋_GB2312" w:hAnsi="仿宋_GB2312" w:eastAsia="仿宋_GB2312"/>
          <w:sz w:val="24"/>
        </w:rPr>
        <w:t xml:space="preserve">保密  </w:t>
      </w:r>
      <w:r>
        <w:rPr>
          <w:rFonts w:ascii="Wingdings 2" w:hAnsi="Wingdings 2" w:cs="Wingdings 2" w:eastAsia="Wingdings 2"/>
          <w:sz w:val="24"/>
        </w:rPr>
        <w:sym w:font="Wingdings 2" w:char="f0a3"/>
      </w:r>
      <w:r>
        <w:rPr>
          <w:rFonts w:ascii="仿宋_GB2312" w:hAnsi="仿宋_GB2312" w:eastAsia="仿宋_GB2312"/>
          <w:sz w:val="24"/>
        </w:rPr>
        <w:t>，在   年解密后适用于本声明；</w:t>
      </w:r>
      <w:r>
        <w:rPr>
          <w:rFonts w:eastAsia="仿宋_GB2312" w:ascii="仿宋_GB2312" w:hAnsi="仿宋_GB2312"/>
          <w:sz w:val="24"/>
        </w:rPr>
        <w:t>2.</w:t>
      </w:r>
      <w:r>
        <w:rPr>
          <w:rFonts w:ascii="仿宋_GB2312" w:hAnsi="仿宋_GB2312" w:eastAsia="仿宋_GB2312"/>
          <w:sz w:val="24"/>
        </w:rPr>
        <w:t xml:space="preserve">不保密  </w:t>
      </w:r>
      <w:r>
        <w:rPr>
          <w:rFonts w:ascii="Wingdings 2" w:hAnsi="Wingdings 2" w:cs="Wingdings 2" w:eastAsia="Wingdings 2"/>
          <w:sz w:val="24"/>
        </w:rPr>
        <w:sym w:font="Wingdings 2" w:char="f0a3"/>
      </w:r>
      <w:r>
        <w:rPr>
          <w:rFonts w:ascii="仿宋_GB2312" w:hAnsi="仿宋_GB2312" w:eastAsia="仿宋_GB2312"/>
          <w:sz w:val="24"/>
        </w:rPr>
        <w:t>。</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sectPr>
          <w:footerReference w:type="default" r:id="rId10"/>
          <w:footerReference w:type="first" r:id="rId11"/>
          <w:type w:val="nextPage"/>
          <w:pgSz w:w="11906" w:h="16838"/>
          <w:pgMar w:left="1800" w:right="1800" w:gutter="0" w:header="0" w:top="1440" w:footer="992" w:bottom="1440"/>
          <w:pgNumType w:fmt="decimal"/>
          <w:formProt w:val="false"/>
          <w:textDirection w:val="lrTb"/>
          <w:docGrid w:type="lines" w:linePitch="312" w:charSpace="0"/>
        </w:sectPr>
        <w:pStyle w:val="Normal"/>
        <w:spacing w:lineRule="auto" w:line="360"/>
        <w:ind w:firstLine="480"/>
        <w:jc w:val="center"/>
        <w:rPr>
          <w:rFonts w:eastAsia="黑体"/>
          <w:sz w:val="28"/>
          <w:szCs w:val="28"/>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导师签名：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年月日</w:t>
      </w:r>
    </w:p>
    <w:p>
      <w:pPr>
        <w:pStyle w:val="Normal"/>
        <w:widowControl/>
        <w:spacing w:lineRule="exact" w:line="400" w:before="398" w:after="398"/>
        <w:jc w:val="center"/>
        <w:rPr>
          <w:b/>
          <w:sz w:val="32"/>
        </w:rPr>
      </w:pPr>
      <w:bookmarkStart w:id="0" w:name="_Hlk189831736"/>
      <w:r>
        <w:rPr>
          <w:rFonts w:eastAsia="黑体"/>
          <w:sz w:val="32"/>
          <w:szCs w:val="32"/>
        </w:rPr>
        <w:t>摘要</w:t>
      </w:r>
    </w:p>
    <w:p>
      <w:pPr>
        <w:pStyle w:val="BodyText"/>
        <w:spacing w:lineRule="exact" w:line="400" w:before="0" w:after="0"/>
        <w:ind w:firstLine="477"/>
        <w:rPr>
          <w:rFonts w:ascii="宋体" w:hAnsi="宋体"/>
          <w:bCs/>
          <w:sz w:val="24"/>
        </w:rPr>
      </w:pPr>
      <w:r>
        <w:rPr>
          <w:rFonts w:ascii="宋体" w:hAnsi="宋体"/>
          <w:b/>
          <w:sz w:val="24"/>
        </w:rPr>
        <w:t>目的：</w:t>
      </w:r>
      <w:r>
        <w:rPr>
          <w:rFonts w:ascii="宋体" w:hAnsi="宋体"/>
          <w:bCs/>
          <w:sz w:val="24"/>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spacing w:lineRule="exact" w:line="400" w:before="0" w:after="0"/>
        <w:ind w:firstLine="477"/>
        <w:rPr>
          <w:rFonts w:ascii="宋体" w:hAnsi="宋体"/>
          <w:bCs/>
          <w:sz w:val="24"/>
        </w:rPr>
      </w:pPr>
      <w:r>
        <w:rPr>
          <w:b/>
          <w:sz w:val="24"/>
        </w:rPr>
        <w:t>方法：</w:t>
      </w:r>
      <w:r>
        <w:rPr>
          <w:rFonts w:ascii="宋体" w:hAnsi="宋体"/>
          <w:bCs/>
          <w:sz w:val="24"/>
        </w:rPr>
        <w:t>选取一名健康成年志愿者，进行</w:t>
      </w:r>
      <w:r>
        <w:rPr>
          <w:sz w:val="24"/>
          <w:lang w:bidi="ar-SA"/>
        </w:rPr>
        <w:t>CBCT</w:t>
      </w:r>
      <w:r>
        <w:rPr>
          <w:rFonts w:ascii="宋体" w:hAnsi="宋体"/>
          <w:bCs/>
          <w:sz w:val="24"/>
        </w:rPr>
        <w:t>扫描，获取下颌骨及牙列的影像资料，志愿者知情同意并配合。利用</w:t>
      </w:r>
      <w:r>
        <w:rPr>
          <w:sz w:val="24"/>
          <w:lang w:bidi="ar-SA"/>
        </w:rPr>
        <w:t>Mimics</w:t>
      </w:r>
      <w:r>
        <w:rPr>
          <w:rFonts w:ascii="宋体" w:hAnsi="宋体"/>
          <w:bCs/>
          <w:sz w:val="24"/>
        </w:rPr>
        <w:t>软件进行下颌骨的三维重建，并使用</w:t>
      </w:r>
      <w:r>
        <w:rPr>
          <w:sz w:val="24"/>
          <w:lang w:bidi="ar-SA"/>
        </w:rPr>
        <w:t>BlueSkyBioPlan</w:t>
      </w:r>
      <w:r>
        <w:rPr>
          <w:rFonts w:ascii="宋体" w:hAnsi="宋体"/>
          <w:bCs/>
          <w:sz w:val="24"/>
        </w:rPr>
        <w:t>软件重建下颌牙列模型。在</w:t>
      </w:r>
      <w:r>
        <w:rPr>
          <w:sz w:val="24"/>
          <w:lang w:bidi="ar-SA"/>
        </w:rPr>
        <w:t>3-Matic</w:t>
      </w:r>
      <w:r>
        <w:rPr>
          <w:rFonts w:ascii="宋体" w:hAnsi="宋体"/>
          <w:bCs/>
          <w:sz w:val="24"/>
        </w:rPr>
        <w:t>软件中进行模型配准。使用</w:t>
      </w:r>
      <w:r>
        <w:rPr>
          <w:sz w:val="24"/>
          <w:lang w:bidi="ar-SA"/>
        </w:rPr>
        <w:t>Geomagic Warp</w:t>
      </w:r>
      <w:r>
        <w:rPr>
          <w:rFonts w:ascii="宋体" w:hAnsi="宋体"/>
          <w:bCs/>
          <w:sz w:val="24"/>
        </w:rPr>
        <w:t>软件建立牙周膜模型，并使用</w:t>
      </w:r>
      <w:r>
        <w:rPr>
          <w:sz w:val="24"/>
          <w:lang w:bidi="ar-SA"/>
        </w:rPr>
        <w:t>Ansys</w:t>
      </w:r>
      <w:r>
        <w:rPr>
          <w:rFonts w:ascii="宋体" w:hAnsi="宋体"/>
          <w:bCs/>
          <w:sz w:val="24"/>
        </w:rPr>
        <w:t>软件中的子软件</w:t>
      </w:r>
      <w:r>
        <w:rPr>
          <w:sz w:val="24"/>
          <w:lang w:bidi="ar-SA"/>
        </w:rPr>
        <w:t>Spaceclaim</w:t>
      </w:r>
      <w:r>
        <w:rPr>
          <w:rFonts w:ascii="宋体" w:hAnsi="宋体"/>
          <w:bCs/>
          <w:sz w:val="24"/>
        </w:rPr>
        <w:t>建立松质骨模型。在</w:t>
      </w:r>
      <w:r>
        <w:rPr>
          <w:sz w:val="24"/>
          <w:lang w:bidi="ar-SA"/>
        </w:rPr>
        <w:t>Spaceclaim</w:t>
      </w:r>
      <w:r>
        <w:rPr>
          <w:rFonts w:ascii="宋体" w:hAnsi="宋体"/>
          <w:bCs/>
          <w:sz w:val="24"/>
        </w:rPr>
        <w:t>软件中设置下颌骨Ⅰ型骨折线，根据强生公司四孔微钛板参数建立微钛板模型，长度为</w:t>
      </w:r>
      <w:r>
        <w:rPr>
          <w:sz w:val="24"/>
          <w:lang w:bidi="ar-SA"/>
        </w:rPr>
        <w:t>27mm</w:t>
      </w:r>
      <w:r>
        <w:rPr>
          <w:rFonts w:ascii="宋体" w:hAnsi="宋体"/>
          <w:bCs/>
          <w:sz w:val="24"/>
        </w:rPr>
        <w:t>，厚度为</w:t>
      </w:r>
      <w:r>
        <w:rPr>
          <w:sz w:val="24"/>
          <w:lang w:bidi="ar-SA"/>
        </w:rPr>
        <w:t>1mm</w:t>
      </w:r>
      <w:r>
        <w:rPr>
          <w:rFonts w:ascii="宋体" w:hAnsi="宋体"/>
          <w:bCs/>
          <w:sz w:val="24"/>
        </w:rPr>
        <w:t>，螺孔为</w:t>
      </w:r>
      <w:r>
        <w:rPr>
          <w:sz w:val="24"/>
          <w:lang w:bidi="ar-SA"/>
        </w:rPr>
        <w:t>2mm</w:t>
      </w:r>
      <w:r>
        <w:rPr>
          <w:rFonts w:ascii="宋体" w:hAnsi="宋体"/>
          <w:bCs/>
          <w:sz w:val="24"/>
        </w:rPr>
        <w:t>。实验通过设计两微钛板的间距分为</w:t>
      </w:r>
      <w:r>
        <w:rPr>
          <w:sz w:val="24"/>
          <w:lang w:bidi="ar-SA"/>
        </w:rPr>
        <w:t>22</w:t>
      </w:r>
      <w:r>
        <w:rPr>
          <w:rFonts w:ascii="宋体" w:hAnsi="宋体"/>
          <w:bCs/>
          <w:sz w:val="24"/>
        </w:rPr>
        <w:t>组，</w:t>
      </w:r>
      <w:r>
        <w:rPr>
          <w:sz w:val="24"/>
          <w:lang w:bidi="ar-SA"/>
        </w:rPr>
        <w:t>2mm</w:t>
      </w:r>
      <w:r>
        <w:rPr>
          <w:rFonts w:ascii="宋体" w:hAnsi="宋体"/>
          <w:bCs/>
          <w:sz w:val="24"/>
        </w:rPr>
        <w:t>间距为初始距离，以</w:t>
      </w:r>
      <w:r>
        <w:rPr>
          <w:sz w:val="24"/>
          <w:lang w:bidi="ar-SA"/>
        </w:rPr>
        <w:t>1mm</w:t>
      </w:r>
      <w:r>
        <w:rPr>
          <w:rFonts w:ascii="宋体" w:hAnsi="宋体"/>
          <w:bCs/>
          <w:sz w:val="24"/>
        </w:rPr>
        <w:t>为间距增加值，逐步增加两微钛板之间距离至</w:t>
      </w:r>
      <w:r>
        <w:rPr>
          <w:sz w:val="24"/>
          <w:lang w:bidi="ar-SA"/>
        </w:rPr>
        <w:t>23mm</w:t>
      </w:r>
      <w:r>
        <w:rPr>
          <w:rFonts w:ascii="宋体" w:hAnsi="宋体"/>
          <w:bCs/>
          <w:sz w:val="24"/>
        </w:rPr>
        <w:t>。两骨折块之间设置为摩擦接触，固定双侧髁突，并于双侧第一磨牙施加</w:t>
      </w:r>
      <w:r>
        <w:rPr>
          <w:sz w:val="24"/>
          <w:lang w:bidi="ar-SA"/>
        </w:rPr>
        <w:t>230N</w:t>
      </w:r>
      <w:r>
        <w:rPr>
          <w:rFonts w:ascii="宋体" w:hAnsi="宋体"/>
          <w:bCs/>
          <w:sz w:val="24"/>
        </w:rPr>
        <w:t>的咬合力，计算在此载荷下两骨折块之间的相对位移情况。</w:t>
      </w:r>
    </w:p>
    <w:p>
      <w:pPr>
        <w:pStyle w:val="Normal"/>
        <w:widowControl/>
        <w:spacing w:lineRule="exact" w:line="400"/>
        <w:ind w:firstLine="477"/>
        <w:rPr>
          <w:b/>
          <w:sz w:val="24"/>
        </w:rPr>
      </w:pPr>
      <w:r>
        <w:rPr>
          <w:b/>
          <w:sz w:val="24"/>
        </w:rPr>
        <w:t>结果：</w:t>
      </w:r>
    </w:p>
    <w:p>
      <w:pPr>
        <w:pStyle w:val="BodyText"/>
        <w:spacing w:lineRule="exact" w:line="400" w:before="0" w:after="0"/>
        <w:ind w:firstLine="476"/>
        <w:rPr>
          <w:rFonts w:ascii="宋体" w:hAnsi="宋体"/>
          <w:bCs/>
          <w:sz w:val="24"/>
        </w:rPr>
      </w:pPr>
      <w:r>
        <w:rPr>
          <w:rFonts w:ascii="宋体" w:hAnsi="宋体"/>
          <w:bCs/>
          <w:sz w:val="24"/>
        </w:rPr>
        <w:t>通过求解并计算得出以下结果，随着微钛板间距的增加，相对位移值逐渐减少，由间距</w:t>
      </w:r>
      <w:r>
        <w:rPr>
          <w:sz w:val="24"/>
          <w:lang w:bidi="ar-SA"/>
        </w:rPr>
        <w:t>2mm</w:t>
      </w:r>
      <w:r>
        <w:rPr>
          <w:rFonts w:ascii="宋体" w:hAnsi="宋体"/>
          <w:bCs/>
          <w:sz w:val="24"/>
        </w:rPr>
        <w:t>时的相对位移</w:t>
      </w:r>
      <w:r>
        <w:rPr>
          <w:sz w:val="24"/>
          <w:lang w:bidi="ar-SA"/>
        </w:rPr>
        <w:t>0.46751mm</w:t>
      </w:r>
      <w:r>
        <w:rPr>
          <w:rFonts w:ascii="宋体" w:hAnsi="宋体"/>
          <w:bCs/>
          <w:sz w:val="24"/>
        </w:rPr>
        <w:t>减小至间距</w:t>
      </w:r>
      <w:r>
        <w:rPr>
          <w:sz w:val="24"/>
          <w:lang w:bidi="ar-SA"/>
        </w:rPr>
        <w:t>23mm</w:t>
      </w:r>
      <w:r>
        <w:rPr>
          <w:rFonts w:ascii="宋体" w:hAnsi="宋体"/>
          <w:bCs/>
          <w:sz w:val="24"/>
        </w:rPr>
        <w:t>时的相对位移</w:t>
      </w:r>
      <w:r>
        <w:rPr>
          <w:sz w:val="24"/>
          <w:lang w:bidi="ar-SA"/>
        </w:rPr>
        <w:t>0.105789mm</w:t>
      </w:r>
      <w:r>
        <w:rPr>
          <w:rFonts w:ascii="宋体" w:hAnsi="宋体"/>
          <w:bCs/>
          <w:sz w:val="24"/>
        </w:rPr>
        <w:t>。在间距</w:t>
      </w:r>
      <w:r>
        <w:rPr>
          <w:sz w:val="24"/>
          <w:lang w:bidi="ar-SA"/>
        </w:rPr>
        <w:t>20mm</w:t>
      </w:r>
      <w:r>
        <w:rPr>
          <w:rFonts w:ascii="宋体" w:hAnsi="宋体"/>
          <w:bCs/>
          <w:sz w:val="24"/>
        </w:rPr>
        <w:t>时的相对位移为</w:t>
      </w:r>
      <w:r>
        <w:rPr>
          <w:sz w:val="24"/>
          <w:lang w:bidi="ar-SA"/>
        </w:rPr>
        <w:t>0.147448mm</w:t>
      </w:r>
      <w:r>
        <w:rPr>
          <w:rFonts w:ascii="宋体" w:hAnsi="宋体"/>
          <w:bCs/>
          <w:sz w:val="24"/>
        </w:rPr>
        <w:t>，降低至临床骨折一期愈合的相对位移临界值</w:t>
      </w:r>
      <w:r>
        <w:rPr>
          <w:sz w:val="24"/>
          <w:lang w:bidi="ar-SA"/>
        </w:rPr>
        <w:t>0.15mm</w:t>
      </w:r>
      <w:r>
        <w:rPr>
          <w:rFonts w:ascii="宋体" w:hAnsi="宋体"/>
          <w:bCs/>
          <w:sz w:val="24"/>
        </w:rPr>
        <w:t>之下。</w:t>
      </w:r>
    </w:p>
    <w:p>
      <w:pPr>
        <w:pStyle w:val="Normal"/>
        <w:widowControl/>
        <w:spacing w:lineRule="exact" w:line="400"/>
        <w:ind w:firstLine="477"/>
        <w:rPr>
          <w:b/>
          <w:sz w:val="24"/>
        </w:rPr>
      </w:pPr>
      <w:r>
        <w:rPr>
          <w:b/>
          <w:sz w:val="24"/>
        </w:rPr>
        <w:t>结论：</w:t>
      </w:r>
    </w:p>
    <w:p>
      <w:pPr>
        <w:pStyle w:val="BodyText"/>
        <w:spacing w:lineRule="exact" w:line="400" w:before="0" w:after="0"/>
        <w:ind w:firstLine="476"/>
        <w:rPr>
          <w:rFonts w:ascii="宋体" w:hAnsi="宋体"/>
          <w:bCs/>
          <w:sz w:val="24"/>
        </w:rPr>
      </w:pPr>
      <w:r>
        <w:rPr>
          <w:sz w:val="24"/>
          <w:lang w:bidi="ar-SA"/>
        </w:rPr>
        <w:t>1.</w:t>
      </w:r>
      <w:r>
        <w:rPr>
          <w:rFonts w:ascii="宋体" w:hAnsi="宋体"/>
          <w:bCs/>
          <w:sz w:val="24"/>
        </w:rPr>
        <w:t>在下颌升支骨折使用双微钛板固定术后，行使咬合功能时，骨折固定后的稳定性随两微钛板的间距增加而</w:t>
      </w:r>
      <w:r>
        <w:rPr>
          <w:rFonts w:ascii="宋体" w:hAnsi="宋体"/>
          <w:sz w:val="24"/>
        </w:rPr>
        <w:t>增加</w:t>
      </w:r>
      <w:r>
        <w:rPr>
          <w:rFonts w:ascii="宋体" w:hAnsi="宋体"/>
          <w:bCs/>
          <w:sz w:val="24"/>
        </w:rPr>
        <w:t>。</w:t>
      </w:r>
    </w:p>
    <w:p>
      <w:pPr>
        <w:pStyle w:val="BodyText"/>
        <w:spacing w:lineRule="exact" w:line="400" w:before="0" w:after="0"/>
        <w:ind w:firstLine="476"/>
        <w:rPr>
          <w:sz w:val="24"/>
          <w:lang w:bidi="ar-SA"/>
        </w:rPr>
      </w:pPr>
      <w:r>
        <w:rPr>
          <w:sz w:val="24"/>
          <w:lang w:bidi="ar-SA"/>
        </w:rPr>
        <w:t>2.</w:t>
      </w:r>
      <w:r>
        <w:rPr>
          <w:sz w:val="24"/>
        </w:rPr>
        <w:t xml:space="preserve"> </w:t>
      </w:r>
      <w:r>
        <w:rPr>
          <w:sz w:val="24"/>
        </w:rPr>
        <w:t>在两微钛板间距为</w:t>
      </w:r>
      <w:r>
        <w:rPr>
          <w:sz w:val="24"/>
        </w:rPr>
        <w:t>20mm</w:t>
      </w:r>
      <w:r>
        <w:rPr>
          <w:sz w:val="24"/>
        </w:rPr>
        <w:t>时，相对位移量小于一期愈合临界值，理论上可以满足一期愈合的条件，可为进一步临床研究及临床应用提供参考。</w:t>
      </w:r>
    </w:p>
    <w:p>
      <w:pPr>
        <w:pStyle w:val="BodyText"/>
        <w:ind w:firstLine="477"/>
        <w:rPr>
          <w:rFonts w:ascii="宋体" w:hAnsi="宋体"/>
          <w:bCs/>
          <w:sz w:val="24"/>
        </w:rPr>
      </w:pPr>
      <w:r>
        <w:rPr>
          <w:b/>
          <w:sz w:val="24"/>
        </w:rPr>
        <w:t>关键词：</w:t>
      </w:r>
      <w:r>
        <w:rPr>
          <w:rFonts w:ascii="宋体" w:hAnsi="宋体"/>
          <w:bCs/>
          <w:sz w:val="24"/>
        </w:rPr>
        <w:t>下颌骨骨折；坚强内固定；微钛板；固定方法；有限元分析</w:t>
      </w:r>
    </w:p>
    <w:p>
      <w:pPr>
        <w:pStyle w:val="Normal"/>
        <w:widowControl/>
        <w:spacing w:lineRule="exact" w:line="400"/>
        <w:ind w:firstLine="476"/>
        <w:rPr>
          <w:sz w:val="24"/>
        </w:rPr>
      </w:pPr>
      <w:r>
        <w:rPr>
          <w:sz w:val="24"/>
        </w:rPr>
      </w:r>
    </w:p>
    <w:p>
      <w:pPr>
        <w:sectPr>
          <w:headerReference w:type="default" r:id="rId12"/>
          <w:footerReference w:type="default" r:id="rId13"/>
          <w:footerReference w:type="first" r:id="rId14"/>
          <w:type w:val="nextPage"/>
          <w:pgSz w:w="11906" w:h="16838"/>
          <w:pgMar w:left="1797" w:right="1797" w:gutter="0" w:header="851" w:top="1440" w:footer="992" w:bottom="1440"/>
          <w:pgNumType w:start="1" w:fmt="decimal"/>
          <w:formProt w:val="false"/>
          <w:textDirection w:val="lrTb"/>
          <w:docGrid w:type="linesAndChars" w:linePitch="398" w:charSpace="4294966680"/>
        </w:sectPr>
        <w:pStyle w:val="Normal"/>
        <w:widowControl/>
        <w:spacing w:lineRule="exact" w:line="400"/>
        <w:ind w:firstLine="476"/>
        <w:rPr>
          <w:sz w:val="24"/>
        </w:rPr>
      </w:pPr>
      <w:r>
        <w:rPr>
          <w:sz w:val="24"/>
        </w:rPr>
      </w:r>
    </w:p>
    <w:p>
      <w:pPr>
        <w:pStyle w:val="Normal"/>
        <w:widowControl/>
        <w:spacing w:lineRule="exact" w:line="400" w:before="312" w:after="312"/>
        <w:jc w:val="center"/>
        <w:rPr>
          <w:b/>
          <w:sz w:val="32"/>
        </w:rPr>
      </w:pPr>
      <w:r>
        <w:rPr>
          <w:rFonts w:eastAsia="黑体"/>
          <w:b/>
          <w:sz w:val="32"/>
          <w:szCs w:val="32"/>
        </w:rPr>
        <w:t>Abstract</w:t>
      </w:r>
    </w:p>
    <w:p>
      <w:pPr>
        <w:pStyle w:val="Normal"/>
        <w:widowControl/>
        <w:shd w:val="clear" w:color="auto" w:fill="FDFDFE"/>
        <w:spacing w:lineRule="exact" w:line="400"/>
        <w:ind w:firstLine="482"/>
        <w:rPr>
          <w:color w:themeColor="text1" w:val="000000"/>
          <w:kern w:val="0"/>
          <w:sz w:val="24"/>
        </w:rPr>
      </w:pPr>
      <w:r>
        <w:rPr>
          <w:b/>
          <w:sz w:val="24"/>
        </w:rPr>
        <w:t xml:space="preserve">Objective: </w:t>
      </w:r>
      <w:r>
        <w:rPr>
          <w:color w:themeColor="text1" w:val="000000"/>
          <w:kern w:val="0"/>
          <w:sz w:val="24"/>
        </w:rPr>
        <w:t>To investigate the relative displacement of fracture fragments during postoperative masticatory function when using dual micro-titanium plates for the fixation of mandibular ramus fractures with different spacing between the micro-titanium plates through finite element analysis,providing a mechanical theoretical basis for the design of mandibular ramus fracture fixation surgery.</w:t>
      </w:r>
    </w:p>
    <w:p>
      <w:pPr>
        <w:pStyle w:val="Normal"/>
        <w:spacing w:lineRule="exact" w:line="400"/>
        <w:ind w:firstLine="482"/>
        <w:rPr>
          <w:color w:themeColor="text1" w:val="000000"/>
          <w:kern w:val="0"/>
          <w:sz w:val="24"/>
        </w:rPr>
      </w:pPr>
      <w:r>
        <w:rPr>
          <w:b/>
          <w:sz w:val="24"/>
        </w:rPr>
        <w:t xml:space="preserve">Methods: </w:t>
      </w:r>
      <w:r>
        <w:rPr>
          <w:color w:themeColor="text1" w:val="000000"/>
          <w:kern w:val="0"/>
          <w:sz w:val="24"/>
        </w:rPr>
        <w:t>A healthy adult volunteer was selected and underwent CBCT scanning to obtain imaging data of the mandible and dental arches,with informed consent and cooperation from the volunteer. Mimics software was used for the three-dimensional reconstruction of the mandible,and BlueSkyBioPlan software was used to reconstruct the dental arch model. Model registration was performed using 3-Matic software. Geomagic Warp software was used to establish the periodontal membrane model,and the cancellous bone model was established using Spaceclaim,a sub-software of Ansys. A type I fracture line of the mandible was set in Spaceclaim software,and the micro-titanium plate model was established based on the parameters of Johnson &amp; Johnson’s four-hole micro-titanium plate,with a length of 27mm,thickness of 1mm,and screw holes of 2mm. The experiment was designed with 22 groups based on the spacing between the two micro-titanium plates,with an initial distance of 2mm and an increment of 1mm,gradually increasing the distance between the two micro-titanium plates to 23mm. Friction contact was set between the two fracture fragments,the bilateral condyles were fixed,and a bite force of 230N was applied to the bilateral first molars to calculate the relative displacement between the two fracture fragments under this load.</w:t>
      </w:r>
    </w:p>
    <w:p>
      <w:pPr>
        <w:pStyle w:val="Normal"/>
        <w:spacing w:lineRule="exact" w:line="400"/>
        <w:ind w:firstLine="482"/>
        <w:rPr>
          <w:b/>
          <w:sz w:val="24"/>
        </w:rPr>
      </w:pPr>
      <w:r>
        <w:rPr>
          <w:b/>
          <w:sz w:val="24"/>
        </w:rPr>
        <w:t>Results:</w:t>
      </w:r>
    </w:p>
    <w:p>
      <w:pPr>
        <w:pStyle w:val="Normal"/>
        <w:spacing w:lineRule="exact" w:line="400"/>
        <w:ind w:firstLine="480"/>
        <w:rPr>
          <w:color w:themeColor="text1" w:val="000000"/>
          <w:kern w:val="0"/>
          <w:sz w:val="24"/>
        </w:rPr>
      </w:pPr>
      <w:r>
        <w:rPr>
          <w:color w:themeColor="text1" w:val="000000"/>
          <w:kern w:val="0"/>
          <w:sz w:val="24"/>
        </w:rPr>
        <w:t>The following results were obtained through solving and calculation: as the spacing between the micro-titanium plates increased,the relative displacement value gradually decreased</w:t>
      </w:r>
      <w:r>
        <w:rPr>
          <w:color w:themeColor="text1" w:val="000000"/>
          <w:kern w:val="0"/>
          <w:sz w:val="24"/>
        </w:rPr>
        <w:t>，</w:t>
      </w:r>
      <w:r>
        <w:rPr>
          <w:color w:themeColor="text1" w:val="000000"/>
          <w:kern w:val="0"/>
          <w:sz w:val="24"/>
        </w:rPr>
        <w:t>from 0.46751mm at a spacing of 2mm to 0.105789mm at a spacing of 23mm. At a spacing of 20mm,the relative displacement was 0.147448mm,reducing below the clinical critical value of 0.15mm for primary healing of fractures.</w:t>
      </w:r>
    </w:p>
    <w:p>
      <w:pPr>
        <w:pStyle w:val="Normal"/>
        <w:spacing w:lineRule="exact" w:line="400"/>
        <w:ind w:firstLine="482"/>
        <w:rPr>
          <w:color w:themeColor="text1" w:val="000000"/>
          <w:sz w:val="24"/>
        </w:rPr>
      </w:pPr>
      <w:r>
        <w:rPr>
          <w:b/>
          <w:color w:themeColor="text1" w:val="000000"/>
          <w:sz w:val="24"/>
        </w:rPr>
        <w:t>Conclusion:</w:t>
      </w:r>
      <w:r>
        <w:rPr>
          <w:color w:themeColor="text1" w:val="000000"/>
          <w:sz w:val="24"/>
        </w:rPr>
        <w:t xml:space="preserve"> </w:t>
      </w:r>
    </w:p>
    <w:p>
      <w:pPr>
        <w:pStyle w:val="Normal"/>
        <w:spacing w:lineRule="exact" w:line="400"/>
        <w:ind w:firstLine="480"/>
        <w:rPr>
          <w:sz w:val="24"/>
        </w:rPr>
      </w:pPr>
      <w:r>
        <w:rPr>
          <w:sz w:val="24"/>
        </w:rPr>
        <w:t>1. In the fixation of mandibular ramus fractures using dual micro-titanium plates,the stability of the fracture fixation increases with the increase in spacing between the two micro-titanium plates during masticatory function.</w:t>
      </w:r>
    </w:p>
    <w:p>
      <w:pPr>
        <w:pStyle w:val="Normal"/>
        <w:spacing w:lineRule="exact" w:line="400"/>
        <w:ind w:firstLine="480"/>
        <w:rPr>
          <w:bCs/>
          <w:color w:themeColor="text1" w:val="000000"/>
          <w:sz w:val="24"/>
        </w:rPr>
      </w:pPr>
      <w:r>
        <w:rPr>
          <w:bCs/>
          <w:color w:themeColor="text1" w:val="000000"/>
          <w:sz w:val="24"/>
        </w:rPr>
        <w:t>2.</w:t>
      </w:r>
      <w:r>
        <w:rPr>
          <w:rFonts w:cs="Segoe UI" w:ascii="Segoe UI" w:hAnsi="Segoe UI"/>
          <w:color w:val="1A2029"/>
          <w:sz w:val="23"/>
          <w:szCs w:val="23"/>
          <w:shd w:fill="FFFFFF" w:val="clear"/>
        </w:rPr>
        <w:t xml:space="preserve"> </w:t>
      </w:r>
      <w:r>
        <w:rPr>
          <w:bCs/>
          <w:color w:themeColor="text1" w:val="000000"/>
          <w:sz w:val="24"/>
        </w:rPr>
        <w:t>When the distance between the two micro-titanium plates is 20mm, the relative displacement is less than the critical value for primary healing, which theoretically can meet the conditions for primary healing. This can provide a reference for further clinical research and clinical application.</w:t>
      </w:r>
    </w:p>
    <w:p>
      <w:pPr>
        <w:pStyle w:val="Normal"/>
        <w:spacing w:lineRule="exact" w:line="400" w:before="312" w:after="312"/>
        <w:ind w:firstLine="482"/>
        <w:rPr>
          <w:sz w:val="24"/>
        </w:rPr>
      </w:pPr>
      <w:r>
        <w:rPr>
          <w:b/>
          <w:sz w:val="24"/>
        </w:rPr>
        <w:t>Key Words</w:t>
      </w:r>
      <w:r>
        <w:rPr>
          <w:sz w:val="24"/>
        </w:rPr>
        <w:t>: Mandibular fracture; Rigid internal fixation; Micro-titanium plate; Fixation method; Finite element analysis</w:t>
      </w:r>
    </w:p>
    <w:p>
      <w:pPr>
        <w:sectPr>
          <w:headerReference w:type="default" r:id="rId15"/>
          <w:headerReference w:type="first" r:id="rId16"/>
          <w:footerReference w:type="default" r:id="rId17"/>
          <w:footerReference w:type="first" r:id="rId18"/>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before="312" w:after="312"/>
        <w:ind w:firstLine="480"/>
        <w:jc w:val="center"/>
        <w:rPr>
          <w:sz w:val="24"/>
        </w:rPr>
      </w:pPr>
      <w:r>
        <w:rPr>
          <w:sz w:val="24"/>
        </w:rPr>
      </w:r>
    </w:p>
    <w:p>
      <w:pPr>
        <w:pStyle w:val="Normal"/>
        <w:spacing w:lineRule="exact" w:line="400" w:before="312" w:after="312"/>
        <w:jc w:val="center"/>
        <w:rPr>
          <w:rFonts w:eastAsia="黑体"/>
          <w:b/>
          <w:sz w:val="32"/>
        </w:rPr>
      </w:pPr>
      <w:r>
        <w:rPr>
          <w:rFonts w:eastAsia="黑体"/>
          <w:sz w:val="32"/>
          <w:szCs w:val="32"/>
        </w:rPr>
        <w:t>目  录</w:t>
      </w:r>
    </w:p>
    <w:p>
      <w:pPr>
        <w:pStyle w:val="Normal"/>
        <w:spacing w:lineRule="exact" w:line="400"/>
        <w:jc w:val="distribute"/>
        <w:rPr>
          <w:rFonts w:eastAsia="黑体"/>
          <w:sz w:val="24"/>
        </w:rPr>
      </w:pPr>
      <w:r>
        <w:rPr>
          <w:rFonts w:eastAsia="黑体"/>
          <w:b/>
          <w:sz w:val="24"/>
        </w:rPr>
        <w:t>摘要</w:t>
      </w:r>
      <w:r>
        <w:rPr>
          <w:sz w:val="24"/>
        </w:rPr>
        <w:t>………………………………………………………………………………Ⅰ</w:t>
      </w:r>
    </w:p>
    <w:p>
      <w:pPr>
        <w:pStyle w:val="Normal"/>
        <w:spacing w:lineRule="exact" w:line="400"/>
        <w:jc w:val="distribute"/>
        <w:rPr>
          <w:sz w:val="24"/>
        </w:rPr>
      </w:pPr>
      <w:r>
        <w:rPr>
          <w:rFonts w:eastAsia="黑体"/>
          <w:b/>
          <w:sz w:val="24"/>
        </w:rPr>
        <w:t>Abstract</w:t>
      </w:r>
      <w:r>
        <w:rPr>
          <w:sz w:val="24"/>
        </w:rPr>
        <w:t>…………………………………………………………………………Ⅲ</w:t>
      </w:r>
    </w:p>
    <w:p>
      <w:pPr>
        <w:pStyle w:val="Normal"/>
        <w:spacing w:lineRule="exact" w:line="400"/>
        <w:jc w:val="distribute"/>
        <w:rPr>
          <w:sz w:val="24"/>
        </w:rPr>
      </w:pPr>
      <w:r>
        <w:rPr>
          <w:rFonts w:eastAsia="黑体"/>
          <w:b/>
          <w:sz w:val="24"/>
        </w:rPr>
        <w:t>中英文缩略词</w:t>
      </w:r>
      <w:r>
        <w:rPr>
          <w:sz w:val="24"/>
        </w:rPr>
        <w:t>………………………………………………………………………</w:t>
      </w:r>
      <w:r>
        <w:rPr>
          <w:sz w:val="24"/>
        </w:rPr>
        <w:t>1</w:t>
      </w:r>
    </w:p>
    <w:p>
      <w:pPr>
        <w:pStyle w:val="Normal"/>
        <w:spacing w:lineRule="exact" w:line="400"/>
        <w:jc w:val="distribute"/>
        <w:rPr>
          <w:sz w:val="24"/>
        </w:rPr>
      </w:pPr>
      <w:r>
        <w:rPr>
          <w:rFonts w:eastAsia="黑体"/>
          <w:b/>
          <w:sz w:val="24"/>
        </w:rPr>
        <w:t>第一章  绪论</w:t>
      </w:r>
      <w:r>
        <w:rPr>
          <w:sz w:val="24"/>
        </w:rPr>
        <w:t>…………………………………………………………………</w:t>
      </w:r>
      <w:r>
        <w:rPr>
          <w:sz w:val="24"/>
        </w:rPr>
        <w:t>2</w:t>
      </w:r>
    </w:p>
    <w:p>
      <w:pPr>
        <w:pStyle w:val="Normal"/>
        <w:spacing w:lineRule="exact" w:line="400"/>
        <w:jc w:val="distribute"/>
        <w:rPr>
          <w:rFonts w:eastAsia="黑体"/>
          <w:sz w:val="24"/>
        </w:rPr>
      </w:pPr>
      <w:r>
        <w:rPr>
          <w:rFonts w:eastAsia="黑体"/>
          <w:b/>
          <w:sz w:val="24"/>
        </w:rPr>
        <w:t>第二章  材料与方法</w:t>
      </w:r>
      <w:r>
        <w:rPr>
          <w:sz w:val="24"/>
        </w:rPr>
        <w:t>……………………………………………………………</w:t>
      </w:r>
      <w:r>
        <w:rPr>
          <w:sz w:val="24"/>
        </w:rPr>
        <w:t>4</w:t>
      </w:r>
    </w:p>
    <w:p>
      <w:pPr>
        <w:pStyle w:val="Normal"/>
        <w:spacing w:lineRule="exact" w:line="400"/>
        <w:ind w:firstLine="480"/>
        <w:jc w:val="distribute"/>
        <w:rPr>
          <w:sz w:val="24"/>
        </w:rPr>
      </w:pPr>
      <w:r>
        <w:rPr>
          <w:sz w:val="24"/>
        </w:rPr>
        <w:t>2.1</w:t>
      </w:r>
      <w:r>
        <w:rPr>
          <w:sz w:val="24"/>
        </w:rPr>
        <w:t>材料及设备…………………………………………………………………</w:t>
      </w:r>
      <w:r>
        <w:rPr>
          <w:sz w:val="24"/>
        </w:rPr>
        <w:t>4</w:t>
      </w:r>
    </w:p>
    <w:p>
      <w:pPr>
        <w:pStyle w:val="Normal"/>
        <w:spacing w:lineRule="exact" w:line="400"/>
        <w:ind w:firstLine="480"/>
        <w:jc w:val="distribute"/>
        <w:rPr>
          <w:sz w:val="24"/>
        </w:rPr>
      </w:pPr>
      <w:r>
        <w:rPr>
          <w:sz w:val="24"/>
        </w:rPr>
        <w:t xml:space="preserve">   </w:t>
      </w:r>
      <w:bookmarkStart w:id="1" w:name="_Hlk189733728"/>
      <w:r>
        <w:rPr>
          <w:sz w:val="24"/>
        </w:rPr>
        <w:t>2.1.1</w:t>
      </w:r>
      <w:r>
        <w:rPr>
          <w:sz w:val="24"/>
        </w:rPr>
        <w:t>扫描设备……………………………………………………………</w:t>
      </w:r>
      <w:r>
        <w:rPr>
          <w:sz w:val="24"/>
        </w:rPr>
        <w:t>4</w:t>
      </w:r>
    </w:p>
    <w:p>
      <w:pPr>
        <w:pStyle w:val="Normal"/>
        <w:spacing w:lineRule="exact" w:line="400"/>
        <w:ind w:firstLine="480"/>
        <w:jc w:val="distribute"/>
        <w:rPr>
          <w:sz w:val="24"/>
        </w:rPr>
      </w:pPr>
      <w:r>
        <w:rPr>
          <w:sz w:val="24"/>
        </w:rPr>
        <w:t xml:space="preserve">   </w:t>
      </w:r>
      <w:r>
        <w:rPr>
          <w:sz w:val="24"/>
        </w:rPr>
        <w:t xml:space="preserve">2.1.2 </w:t>
      </w:r>
      <w:r>
        <w:rPr>
          <w:sz w:val="24"/>
        </w:rPr>
        <w:t>实验设备……………………………………………………………</w:t>
      </w:r>
      <w:r>
        <w:rPr>
          <w:sz w:val="24"/>
        </w:rPr>
        <w:t>4</w:t>
      </w:r>
      <w:bookmarkEnd w:id="1"/>
    </w:p>
    <w:p>
      <w:pPr>
        <w:pStyle w:val="Normal"/>
        <w:spacing w:lineRule="exact" w:line="400"/>
        <w:ind w:firstLine="480" w:left="360"/>
        <w:jc w:val="distribute"/>
        <w:rPr>
          <w:sz w:val="24"/>
        </w:rPr>
      </w:pPr>
      <w:r>
        <w:rPr>
          <w:sz w:val="24"/>
        </w:rPr>
        <w:t>2.1.3</w:t>
      </w:r>
      <w:r>
        <w:rPr>
          <w:sz w:val="24"/>
        </w:rPr>
        <w:t>使用软件……………………………………………………………</w:t>
      </w:r>
      <w:r>
        <w:rPr>
          <w:sz w:val="24"/>
        </w:rPr>
        <w:t>4</w:t>
      </w:r>
    </w:p>
    <w:p>
      <w:pPr>
        <w:pStyle w:val="Normal"/>
        <w:spacing w:lineRule="exact" w:line="400"/>
        <w:ind w:firstLine="480"/>
        <w:jc w:val="distribute"/>
        <w:rPr>
          <w:sz w:val="24"/>
        </w:rPr>
      </w:pPr>
      <w:r>
        <w:rPr>
          <w:sz w:val="24"/>
        </w:rPr>
        <w:t>2.2</w:t>
      </w:r>
      <w:r>
        <w:rPr>
          <w:sz w:val="24"/>
        </w:rPr>
        <w:t>影像资料选取………………………………………………………………</w:t>
      </w:r>
      <w:r>
        <w:rPr>
          <w:sz w:val="24"/>
        </w:rPr>
        <w:t>4</w:t>
      </w:r>
    </w:p>
    <w:p>
      <w:pPr>
        <w:pStyle w:val="Normal"/>
        <w:spacing w:lineRule="exact" w:line="400"/>
        <w:ind w:firstLine="480" w:left="360"/>
        <w:jc w:val="distribute"/>
        <w:rPr>
          <w:sz w:val="24"/>
        </w:rPr>
      </w:pPr>
      <w:r>
        <w:rPr>
          <w:sz w:val="24"/>
        </w:rPr>
        <w:t>2.2.1</w:t>
      </w:r>
      <w:r>
        <w:rPr>
          <w:sz w:val="24"/>
        </w:rPr>
        <w:t>纳入标准……………………………………………………………</w:t>
      </w:r>
      <w:r>
        <w:rPr>
          <w:sz w:val="24"/>
        </w:rPr>
        <w:t>4</w:t>
      </w:r>
    </w:p>
    <w:p>
      <w:pPr>
        <w:pStyle w:val="Normal"/>
        <w:spacing w:lineRule="exact" w:line="400"/>
        <w:ind w:firstLine="480"/>
        <w:jc w:val="distribute"/>
        <w:rPr>
          <w:sz w:val="24"/>
        </w:rPr>
      </w:pPr>
      <w:r>
        <w:rPr>
          <w:sz w:val="24"/>
        </w:rPr>
        <w:t xml:space="preserve">   </w:t>
      </w:r>
      <w:r>
        <w:rPr>
          <w:sz w:val="24"/>
        </w:rPr>
        <w:t xml:space="preserve">2.2.2 </w:t>
      </w:r>
      <w:r>
        <w:rPr>
          <w:sz w:val="24"/>
        </w:rPr>
        <w:t>排除标准……………………………………………………………</w:t>
      </w:r>
      <w:r>
        <w:rPr>
          <w:sz w:val="24"/>
        </w:rPr>
        <w:t>5</w:t>
      </w:r>
    </w:p>
    <w:p>
      <w:pPr>
        <w:pStyle w:val="Normal"/>
        <w:spacing w:lineRule="exact" w:line="400"/>
        <w:ind w:firstLine="480"/>
        <w:jc w:val="distribute"/>
        <w:rPr>
          <w:sz w:val="24"/>
        </w:rPr>
      </w:pPr>
      <w:r>
        <w:rPr>
          <w:sz w:val="24"/>
        </w:rPr>
        <w:t>2.3</w:t>
      </w:r>
      <w:r>
        <w:rPr>
          <w:sz w:val="24"/>
        </w:rPr>
        <w:t>下颌骨及牙列的三维重建…………………………………………………</w:t>
      </w:r>
      <w:r>
        <w:rPr>
          <w:sz w:val="24"/>
        </w:rPr>
        <w:t>5</w:t>
      </w:r>
    </w:p>
    <w:p>
      <w:pPr>
        <w:pStyle w:val="Normal"/>
        <w:spacing w:lineRule="exact" w:line="400"/>
        <w:ind w:firstLine="480" w:left="360"/>
        <w:jc w:val="distribute"/>
        <w:rPr>
          <w:sz w:val="24"/>
        </w:rPr>
      </w:pPr>
      <w:r>
        <w:rPr>
          <w:sz w:val="24"/>
        </w:rPr>
        <w:t>2.3.1</w:t>
      </w:r>
      <w:r>
        <w:rPr>
          <w:sz w:val="24"/>
        </w:rPr>
        <w:t>下颌骨模型的三维重建………………………………………………</w:t>
      </w:r>
      <w:r>
        <w:rPr>
          <w:sz w:val="24"/>
        </w:rPr>
        <w:t>5</w:t>
      </w:r>
    </w:p>
    <w:p>
      <w:pPr>
        <w:pStyle w:val="Normal"/>
        <w:spacing w:lineRule="exact" w:line="400"/>
        <w:ind w:firstLine="480"/>
        <w:jc w:val="distribute"/>
        <w:rPr>
          <w:sz w:val="24"/>
        </w:rPr>
      </w:pPr>
      <w:r>
        <w:rPr>
          <w:sz w:val="24"/>
        </w:rPr>
        <w:t xml:space="preserve">   </w:t>
      </w:r>
      <w:r>
        <w:rPr>
          <w:sz w:val="24"/>
        </w:rPr>
        <w:t>2.3.2</w:t>
      </w:r>
      <w:r>
        <w:rPr>
          <w:sz w:val="24"/>
        </w:rPr>
        <w:t>下颌牙列模型的三维重建……………………………………………</w:t>
      </w:r>
      <w:r>
        <w:rPr>
          <w:sz w:val="24"/>
        </w:rPr>
        <w:t>6</w:t>
      </w:r>
    </w:p>
    <w:p>
      <w:pPr>
        <w:pStyle w:val="Normal"/>
        <w:spacing w:lineRule="exact" w:line="400"/>
        <w:ind w:firstLine="480" w:left="360"/>
        <w:jc w:val="distribute"/>
        <w:rPr>
          <w:sz w:val="24"/>
        </w:rPr>
      </w:pPr>
      <w:r>
        <w:rPr>
          <w:sz w:val="24"/>
        </w:rPr>
        <w:t>2.3.3</w:t>
      </w:r>
      <w:r>
        <w:rPr>
          <w:sz w:val="24"/>
        </w:rPr>
        <w:t>牙齿与下颌骨配准……………………………………………………</w:t>
      </w:r>
      <w:r>
        <w:rPr>
          <w:sz w:val="24"/>
        </w:rPr>
        <w:t>7</w:t>
      </w:r>
    </w:p>
    <w:p>
      <w:pPr>
        <w:pStyle w:val="Normal"/>
        <w:spacing w:lineRule="exact" w:line="400"/>
        <w:ind w:firstLine="480" w:left="360"/>
        <w:jc w:val="distribute"/>
        <w:rPr>
          <w:sz w:val="24"/>
        </w:rPr>
      </w:pPr>
      <w:r>
        <w:rPr>
          <w:sz w:val="24"/>
        </w:rPr>
        <w:t>2.3.4</w:t>
      </w:r>
      <w:r>
        <w:rPr>
          <w:sz w:val="24"/>
        </w:rPr>
        <w:t>模型优化处理…………………………………………………………</w:t>
      </w:r>
      <w:r>
        <w:rPr>
          <w:sz w:val="24"/>
        </w:rPr>
        <w:t>8</w:t>
      </w:r>
    </w:p>
    <w:p>
      <w:pPr>
        <w:pStyle w:val="Normal"/>
        <w:spacing w:lineRule="exact" w:line="400"/>
        <w:ind w:firstLine="480"/>
        <w:jc w:val="distribute"/>
        <w:rPr>
          <w:sz w:val="24"/>
        </w:rPr>
      </w:pPr>
      <w:r>
        <w:rPr>
          <w:sz w:val="24"/>
        </w:rPr>
        <w:t xml:space="preserve">2.4 </w:t>
      </w:r>
      <w:r>
        <w:rPr>
          <w:sz w:val="24"/>
        </w:rPr>
        <w:t>建立有限元分析模型………………………………………………………</w:t>
      </w:r>
      <w:r>
        <w:rPr>
          <w:sz w:val="24"/>
        </w:rPr>
        <w:t>8</w:t>
      </w:r>
    </w:p>
    <w:p>
      <w:pPr>
        <w:pStyle w:val="Normal"/>
        <w:spacing w:lineRule="exact" w:line="400"/>
        <w:ind w:firstLine="480" w:left="360"/>
        <w:jc w:val="distribute"/>
        <w:rPr>
          <w:sz w:val="24"/>
        </w:rPr>
      </w:pPr>
      <w:r>
        <w:rPr>
          <w:sz w:val="24"/>
        </w:rPr>
        <w:t>2.4.1</w:t>
      </w:r>
      <w:r>
        <w:rPr>
          <w:sz w:val="24"/>
        </w:rPr>
        <w:t>建立牙周膜及松质骨模型……………………………………………</w:t>
      </w:r>
      <w:r>
        <w:rPr>
          <w:sz w:val="24"/>
        </w:rPr>
        <w:t>8</w:t>
      </w:r>
    </w:p>
    <w:p>
      <w:pPr>
        <w:pStyle w:val="Normal"/>
        <w:spacing w:lineRule="exact" w:line="400"/>
        <w:ind w:firstLine="480"/>
        <w:jc w:val="distribute"/>
        <w:rPr>
          <w:sz w:val="24"/>
        </w:rPr>
      </w:pPr>
      <w:r>
        <w:rPr>
          <w:sz w:val="24"/>
        </w:rPr>
        <w:t xml:space="preserve">   </w:t>
      </w:r>
      <w:r>
        <w:rPr>
          <w:sz w:val="24"/>
        </w:rPr>
        <w:t>2.4.2</w:t>
      </w:r>
      <w:r>
        <w:rPr>
          <w:sz w:val="24"/>
        </w:rPr>
        <w:t>骨折线设计……………………………………………………………</w:t>
      </w:r>
      <w:r>
        <w:rPr>
          <w:sz w:val="24"/>
        </w:rPr>
        <w:t>9</w:t>
      </w:r>
    </w:p>
    <w:p>
      <w:pPr>
        <w:pStyle w:val="Normal"/>
        <w:spacing w:lineRule="exact" w:line="400"/>
        <w:ind w:firstLine="480" w:left="360"/>
        <w:jc w:val="distribute"/>
        <w:rPr>
          <w:sz w:val="24"/>
        </w:rPr>
      </w:pPr>
      <w:r>
        <w:rPr>
          <w:sz w:val="24"/>
        </w:rPr>
        <w:t>2.4.3</w:t>
      </w:r>
      <w:r>
        <w:rPr>
          <w:sz w:val="24"/>
        </w:rPr>
        <w:t>建立微钛板模型……………………………………………………</w:t>
      </w:r>
      <w:r>
        <w:rPr>
          <w:sz w:val="24"/>
        </w:rPr>
        <w:t>10</w:t>
      </w:r>
    </w:p>
    <w:p>
      <w:pPr>
        <w:pStyle w:val="Normal"/>
        <w:spacing w:lineRule="exact" w:line="400"/>
        <w:ind w:firstLine="480"/>
        <w:jc w:val="distribute"/>
        <w:rPr>
          <w:sz w:val="24"/>
        </w:rPr>
      </w:pPr>
      <w:r>
        <w:rPr>
          <w:sz w:val="24"/>
        </w:rPr>
        <w:t>2.5</w:t>
      </w:r>
      <w:r>
        <w:rPr>
          <w:sz w:val="24"/>
        </w:rPr>
        <w:t>有限元分析………………………………………………………………</w:t>
      </w:r>
      <w:r>
        <w:rPr>
          <w:sz w:val="24"/>
        </w:rPr>
        <w:t>13</w:t>
      </w:r>
    </w:p>
    <w:p>
      <w:pPr>
        <w:pStyle w:val="Normal"/>
        <w:spacing w:lineRule="exact" w:line="400"/>
        <w:jc w:val="distribute"/>
        <w:rPr>
          <w:rFonts w:eastAsia="黑体"/>
          <w:b/>
          <w:sz w:val="24"/>
        </w:rPr>
      </w:pPr>
      <w:r>
        <w:rPr>
          <w:rFonts w:eastAsia="黑体"/>
          <w:b/>
          <w:sz w:val="24"/>
        </w:rPr>
        <w:t>第三章  结果</w:t>
      </w:r>
      <w:r>
        <w:rPr>
          <w:sz w:val="24"/>
        </w:rPr>
        <w:t>………………………………………………………………………</w:t>
      </w:r>
      <w:r>
        <w:rPr>
          <w:sz w:val="24"/>
        </w:rPr>
        <w:t>15</w:t>
      </w:r>
    </w:p>
    <w:p>
      <w:pPr>
        <w:pStyle w:val="Normal"/>
        <w:spacing w:lineRule="exact" w:line="400"/>
        <w:jc w:val="distribute"/>
        <w:rPr>
          <w:sz w:val="24"/>
        </w:rPr>
      </w:pPr>
      <w:r>
        <w:rPr>
          <w:rFonts w:eastAsia="黑体"/>
          <w:b/>
          <w:sz w:val="24"/>
        </w:rPr>
        <w:t>第四章  讨论</w:t>
      </w:r>
      <w:r>
        <w:rPr>
          <w:sz w:val="24"/>
        </w:rPr>
        <w:t>………………………………………………………………………</w:t>
      </w:r>
      <w:r>
        <w:rPr>
          <w:sz w:val="24"/>
        </w:rPr>
        <w:t>16</w:t>
      </w:r>
    </w:p>
    <w:p>
      <w:pPr>
        <w:pStyle w:val="Normal"/>
        <w:spacing w:lineRule="exact" w:line="400"/>
        <w:ind w:firstLine="480"/>
        <w:jc w:val="distribute"/>
        <w:rPr>
          <w:sz w:val="24"/>
        </w:rPr>
      </w:pPr>
      <w:r>
        <w:rPr>
          <w:sz w:val="24"/>
        </w:rPr>
        <w:t>4.1</w:t>
      </w:r>
      <w:r>
        <w:rPr>
          <w:rFonts w:ascii="宋体" w:hAnsi="宋体"/>
          <w:sz w:val="24"/>
        </w:rPr>
        <w:t>有限元模型建立</w:t>
      </w:r>
      <w:r>
        <w:rPr>
          <w:sz w:val="24"/>
        </w:rPr>
        <w:t>……………………………………………………………</w:t>
      </w:r>
      <w:r>
        <w:rPr>
          <w:sz w:val="24"/>
        </w:rPr>
        <w:t>16</w:t>
      </w:r>
    </w:p>
    <w:p>
      <w:pPr>
        <w:pStyle w:val="Normal"/>
        <w:spacing w:lineRule="exact" w:line="400"/>
        <w:ind w:firstLine="480"/>
        <w:jc w:val="distribute"/>
        <w:rPr>
          <w:sz w:val="24"/>
        </w:rPr>
      </w:pPr>
      <w:r>
        <w:rPr>
          <w:sz w:val="24"/>
        </w:rPr>
        <w:t xml:space="preserve">4.2 </w:t>
      </w:r>
      <w:r>
        <w:rPr>
          <w:sz w:val="24"/>
        </w:rPr>
        <w:t>微钛板固定位置对稳定性的影响………………………………………</w:t>
      </w:r>
      <w:r>
        <w:rPr>
          <w:sz w:val="24"/>
        </w:rPr>
        <w:t>16</w:t>
      </w:r>
    </w:p>
    <w:p>
      <w:pPr>
        <w:pStyle w:val="Normal"/>
        <w:spacing w:lineRule="exact" w:line="400"/>
        <w:ind w:firstLine="482"/>
        <w:jc w:val="distribute"/>
        <w:rPr>
          <w:sz w:val="24"/>
        </w:rPr>
      </w:pPr>
      <w:r>
        <w:rPr>
          <w:sz w:val="24"/>
        </w:rPr>
        <w:t>4.3</w:t>
      </w:r>
      <w:r>
        <w:rPr>
          <w:sz w:val="24"/>
        </w:rPr>
        <w:t>下颌升支骨折的愈合………………………………………………………</w:t>
      </w:r>
      <w:r>
        <w:rPr>
          <w:sz w:val="24"/>
        </w:rPr>
        <w:t>17</w:t>
      </w:r>
    </w:p>
    <w:p>
      <w:pPr>
        <w:pStyle w:val="Normal"/>
        <w:spacing w:lineRule="exact" w:line="400"/>
        <w:ind w:firstLine="480"/>
        <w:rPr>
          <w:rFonts w:ascii="宋体" w:hAnsi="宋体"/>
          <w:color w:val="0D0D0D"/>
          <w:sz w:val="24"/>
        </w:rPr>
      </w:pPr>
      <w:r>
        <w:rPr>
          <w:sz w:val="24"/>
        </w:rPr>
        <w:t>4.4</w:t>
      </w:r>
      <w:r>
        <w:rPr>
          <w:rFonts w:ascii="宋体" w:hAnsi="宋体"/>
          <w:color w:val="0D0D0D"/>
          <w:sz w:val="24"/>
        </w:rPr>
        <w:t>手术入路的选择</w:t>
      </w:r>
      <w:r>
        <w:rPr>
          <w:sz w:val="24"/>
        </w:rPr>
        <w:t>……………………………………………………………</w:t>
      </w:r>
      <w:r>
        <w:rPr>
          <w:sz w:val="24"/>
        </w:rPr>
        <w:t>18</w:t>
      </w:r>
    </w:p>
    <w:p>
      <w:pPr>
        <w:pStyle w:val="Normal"/>
        <w:spacing w:lineRule="exact" w:line="400"/>
        <w:ind w:firstLine="480"/>
        <w:rPr>
          <w:rFonts w:ascii="宋体" w:hAnsi="宋体"/>
          <w:color w:val="0D0D0D"/>
          <w:sz w:val="24"/>
        </w:rPr>
      </w:pPr>
      <w:r>
        <w:rPr>
          <w:sz w:val="24"/>
        </w:rPr>
        <w:t>4.5</w:t>
      </w:r>
      <w:r>
        <w:rPr>
          <w:rFonts w:ascii="宋体" w:hAnsi="宋体"/>
          <w:color w:val="0D0D0D"/>
          <w:sz w:val="24"/>
        </w:rPr>
        <w:t>研究的局限性</w:t>
      </w:r>
      <w:r>
        <w:rPr>
          <w:sz w:val="24"/>
        </w:rPr>
        <w:t>………………………………………………………………</w:t>
      </w:r>
      <w:r>
        <w:rPr>
          <w:sz w:val="24"/>
        </w:rPr>
        <w:t>20</w:t>
      </w:r>
    </w:p>
    <w:p>
      <w:pPr>
        <w:pStyle w:val="Normal"/>
        <w:spacing w:lineRule="exact" w:line="400"/>
        <w:jc w:val="distribute"/>
        <w:rPr>
          <w:sz w:val="24"/>
        </w:rPr>
      </w:pPr>
      <w:r>
        <w:rPr>
          <w:rFonts w:eastAsia="黑体"/>
          <w:b/>
          <w:sz w:val="24"/>
        </w:rPr>
        <w:t xml:space="preserve">结论 </w:t>
      </w:r>
      <w:r>
        <w:rPr>
          <w:sz w:val="24"/>
        </w:rPr>
        <w:t>………………………………………………………………………………</w:t>
      </w:r>
      <w:r>
        <w:rPr>
          <w:sz w:val="24"/>
        </w:rPr>
        <w:t>22</w:t>
      </w:r>
    </w:p>
    <w:p>
      <w:pPr>
        <w:pStyle w:val="Normal"/>
        <w:spacing w:lineRule="exact" w:line="400"/>
        <w:jc w:val="distribute"/>
        <w:rPr>
          <w:sz w:val="24"/>
        </w:rPr>
      </w:pPr>
      <w:r>
        <w:rPr>
          <w:rFonts w:eastAsia="黑体"/>
          <w:b/>
          <w:sz w:val="24"/>
        </w:rPr>
        <w:t xml:space="preserve">参考文献 </w:t>
      </w:r>
      <w:r>
        <w:rPr>
          <w:sz w:val="24"/>
        </w:rPr>
        <w:t>……………………………………………………………………………</w:t>
      </w:r>
      <w:r>
        <w:rPr>
          <w:sz w:val="24"/>
        </w:rPr>
        <w:t>23</w:t>
      </w:r>
    </w:p>
    <w:p>
      <w:pPr>
        <w:pStyle w:val="Normal"/>
        <w:spacing w:lineRule="exact" w:line="400"/>
        <w:rPr>
          <w:sz w:val="24"/>
        </w:rPr>
      </w:pPr>
      <w:r>
        <w:rPr>
          <w:rFonts w:eastAsia="黑体"/>
          <w:b/>
          <w:sz w:val="24"/>
        </w:rPr>
        <w:t xml:space="preserve">综述 </w:t>
      </w:r>
      <w:r>
        <w:rPr>
          <w:sz w:val="24"/>
        </w:rPr>
        <w:t>…………………………………………………………………………………</w:t>
      </w:r>
      <w:r>
        <w:rPr>
          <w:sz w:val="24"/>
        </w:rPr>
        <w:t>27</w:t>
      </w:r>
    </w:p>
    <w:p>
      <w:pPr>
        <w:pStyle w:val="Normal"/>
        <w:spacing w:lineRule="exact" w:line="400"/>
        <w:rPr>
          <w:sz w:val="24"/>
        </w:rPr>
      </w:pPr>
      <w:r>
        <w:rPr>
          <w:rFonts w:eastAsia="黑体"/>
          <w:b/>
          <w:sz w:val="24"/>
        </w:rPr>
        <w:t xml:space="preserve">致谢 </w:t>
      </w:r>
      <w:r>
        <w:rPr>
          <w:sz w:val="24"/>
        </w:rPr>
        <w:t>…………………………………………………………………………………</w:t>
      </w:r>
      <w:r>
        <w:rPr>
          <w:sz w:val="24"/>
        </w:rPr>
        <w:t>37</w:t>
      </w:r>
    </w:p>
    <w:p>
      <w:pPr>
        <w:sectPr>
          <w:headerReference w:type="default" r:id="rId19"/>
          <w:headerReference w:type="first" r:id="rId20"/>
          <w:footerReference w:type="default" r:id="rId21"/>
          <w:footerReference w:type="first" r:id="rId22"/>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rPr>
          <w:sz w:val="24"/>
        </w:rPr>
      </w:pPr>
      <w:r>
        <w:rPr>
          <w:rFonts w:eastAsia="黑体"/>
          <w:b/>
          <w:sz w:val="24"/>
        </w:rPr>
        <w:t>附录</w:t>
      </w:r>
      <w:r>
        <w:rPr>
          <w:rFonts w:eastAsia="黑体"/>
          <w:b/>
          <w:sz w:val="24"/>
        </w:rPr>
        <w:t xml:space="preserve">A  </w:t>
      </w:r>
      <w:r>
        <w:rPr>
          <w:rFonts w:eastAsia="黑体"/>
          <w:b/>
          <w:sz w:val="24"/>
        </w:rPr>
        <w:t xml:space="preserve">攻读学位期间发表论文目录 </w:t>
      </w:r>
      <w:r>
        <w:rPr>
          <w:sz w:val="24"/>
        </w:rPr>
        <w:t>……………………………………………</w:t>
      </w:r>
      <w:r>
        <w:rPr>
          <w:sz w:val="24"/>
        </w:rPr>
        <w:t>35</w:t>
      </w:r>
    </w:p>
    <w:p>
      <w:pPr>
        <w:pStyle w:val="Normal"/>
        <w:widowControl/>
        <w:spacing w:lineRule="exact" w:line="400" w:before="312" w:after="312"/>
        <w:jc w:val="center"/>
        <w:rPr>
          <w:rFonts w:eastAsia="黑体"/>
          <w:b/>
          <w:sz w:val="32"/>
        </w:rPr>
      </w:pPr>
      <w:r>
        <w:rPr>
          <w:rFonts w:eastAsia="黑体"/>
          <w:b/>
          <w:sz w:val="32"/>
          <w:szCs w:val="32"/>
        </w:rPr>
        <w:t>英文缩略词</w:t>
      </w:r>
    </w:p>
    <w:tbl>
      <w:tblPr>
        <w:tblStyle w:val="21"/>
        <w:tblW w:w="85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3827"/>
        <w:gridCol w:w="3000"/>
      </w:tblGrid>
      <w:tr>
        <w:trPr>
          <w:trHeight w:val="424" w:hRule="atLeast"/>
          <w:cnfStyle w:val="100000000000" w:firstRow="1" w:lastRow="0" w:firstColumn="0" w:lastColumn="0" w:oddVBand="0" w:evenVBand="0" w:oddHBand="0" w:evenHBand="0" w:firstRowFirstColumn="0" w:firstRowLastColumn="0" w:lastRowFirstColumn="0" w:lastRowLastColumn="0"/>
        </w:trPr>
        <w:tc>
          <w:tcPr>
            <w:tcW w:w="1701" w:type="dxa"/>
            <w:cnfStyle w:val="001000000000" w:firstRow="0" w:lastRow="0" w:firstColumn="1" w:lastColumn="0" w:oddVBand="0" w:evenVBand="0" w:oddHBand="0" w:evenHBand="0" w:firstRowFirstColumn="0" w:firstRowLastColumn="0" w:lastRowFirstColumn="0" w:lastRowLastColumn="0"/>
            <w:tcBorders>
              <w:top w:val="single" w:sz="18" w:space="0" w:color="000000"/>
              <w:bottom w:val="single" w:sz="4" w:space="0" w:color="000000"/>
            </w:tcBorders>
          </w:tcPr>
          <w:p>
            <w:pPr>
              <w:pStyle w:val="Normal"/>
              <w:widowControl/>
              <w:spacing w:before="0" w:after="0"/>
              <w:ind w:firstLine="480"/>
              <w:jc w:val="center"/>
              <w:rPr>
                <w:b w:val="false"/>
                <w:sz w:val="24"/>
                <w:szCs w:val="32"/>
              </w:rPr>
            </w:pPr>
            <w:r>
              <w:rPr>
                <w:b w:val="false"/>
                <w:bCs/>
                <w:kern w:val="0"/>
                <w:sz w:val="24"/>
                <w:szCs w:val="32"/>
                <w:lang w:val="en-US" w:eastAsia="zh-CN" w:bidi="ar-SA"/>
              </w:rPr>
              <w:t>英文缩写</w:t>
            </w:r>
          </w:p>
        </w:tc>
        <w:tc>
          <w:tcPr>
            <w:tcW w:w="3827" w:type="dxa"/>
            <w:tcBorders>
              <w:top w:val="single" w:sz="18" w:space="0" w:color="000000"/>
              <w:bottom w:val="single" w:sz="4" w:space="0" w:color="000000"/>
            </w:tcBorders>
          </w:tcPr>
          <w:p>
            <w:pPr>
              <w:pStyle w:val="Normal"/>
              <w:widowControl/>
              <w:spacing w:before="0" w:after="0"/>
              <w:ind w:firstLine="480"/>
              <w:jc w:val="center"/>
              <w:cnfStyle w:val="100000000000" w:firstRow="1" w:lastRow="0" w:firstColumn="0" w:lastColumn="0" w:oddVBand="0" w:evenVBand="0" w:oddHBand="0" w:evenHBand="0" w:firstRowFirstColumn="0" w:firstRowLastColumn="0" w:lastRowFirstColumn="0" w:lastRowLastColumn="0"/>
              <w:rPr>
                <w:b w:val="false"/>
                <w:sz w:val="24"/>
                <w:szCs w:val="32"/>
              </w:rPr>
            </w:pPr>
            <w:r>
              <w:rPr>
                <w:b w:val="false"/>
                <w:bCs/>
                <w:kern w:val="0"/>
                <w:sz w:val="24"/>
                <w:szCs w:val="32"/>
                <w:lang w:val="en-US" w:eastAsia="zh-CN" w:bidi="ar-SA"/>
              </w:rPr>
              <w:t>英文全称</w:t>
            </w:r>
          </w:p>
        </w:tc>
        <w:tc>
          <w:tcPr>
            <w:tcW w:w="3000" w:type="dxa"/>
            <w:tcBorders>
              <w:top w:val="single" w:sz="18" w:space="0" w:color="000000"/>
              <w:bottom w:val="single" w:sz="4" w:space="0" w:color="000000"/>
            </w:tcBorders>
          </w:tcPr>
          <w:p>
            <w:pPr>
              <w:pStyle w:val="Normal"/>
              <w:widowControl/>
              <w:spacing w:before="0" w:after="0"/>
              <w:ind w:firstLine="480"/>
              <w:jc w:val="center"/>
              <w:cnfStyle w:val="100000000000" w:firstRow="1" w:lastRow="0" w:firstColumn="0" w:lastColumn="0" w:oddVBand="0" w:evenVBand="0" w:oddHBand="0" w:evenHBand="0" w:firstRowFirstColumn="0" w:firstRowLastColumn="0" w:lastRowFirstColumn="0" w:lastRowLastColumn="0"/>
              <w:rPr>
                <w:b w:val="false"/>
                <w:sz w:val="24"/>
                <w:szCs w:val="32"/>
              </w:rPr>
            </w:pPr>
            <w:r>
              <w:rPr>
                <w:b w:val="false"/>
                <w:bCs/>
                <w:kern w:val="0"/>
                <w:sz w:val="24"/>
                <w:szCs w:val="32"/>
                <w:lang w:val="en-US" w:eastAsia="zh-CN" w:bidi="ar-SA"/>
              </w:rPr>
              <w:t>中文名称</w:t>
            </w:r>
          </w:p>
        </w:tc>
      </w:tr>
      <w:tr>
        <w:trPr>
          <w:trHeight w:val="1155" w:hRule="atLeast"/>
        </w:trPr>
        <w:tc>
          <w:tcPr>
            <w:tcW w:w="1701"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18" w:space="0" w:color="000000"/>
            </w:tcBorders>
          </w:tcPr>
          <w:p>
            <w:pPr>
              <w:pStyle w:val="Normal"/>
              <w:widowControl/>
              <w:spacing w:before="0" w:after="0"/>
              <w:ind w:firstLine="482"/>
              <w:jc w:val="center"/>
              <w:rPr>
                <w:sz w:val="24"/>
              </w:rPr>
            </w:pPr>
            <w:r>
              <w:rPr>
                <w:b/>
                <w:bCs/>
                <w:kern w:val="0"/>
                <w:sz w:val="24"/>
                <w:szCs w:val="20"/>
                <w:lang w:val="en-US" w:eastAsia="zh-CN" w:bidi="ar-SA"/>
              </w:rPr>
              <w:t>CBCT</w:t>
            </w:r>
          </w:p>
          <w:p>
            <w:pPr>
              <w:pStyle w:val="Normal"/>
              <w:widowControl/>
              <w:spacing w:before="0" w:after="0"/>
              <w:ind w:firstLine="482"/>
              <w:jc w:val="center"/>
              <w:rPr>
                <w:sz w:val="24"/>
              </w:rPr>
            </w:pPr>
            <w:r>
              <w:rPr>
                <w:b/>
                <w:bCs/>
                <w:kern w:val="0"/>
                <w:sz w:val="24"/>
                <w:szCs w:val="20"/>
                <w:lang w:val="en-US" w:eastAsia="zh-CN" w:bidi="ar-SA"/>
              </w:rPr>
              <w:t>DICOM</w:t>
            </w:r>
          </w:p>
          <w:p>
            <w:pPr>
              <w:pStyle w:val="Normal"/>
              <w:widowControl/>
              <w:spacing w:before="0" w:after="0"/>
              <w:ind w:firstLine="480"/>
              <w:jc w:val="center"/>
              <w:rPr>
                <w:sz w:val="24"/>
              </w:rPr>
            </w:pPr>
            <w:r>
              <w:rPr>
                <w:b/>
                <w:bCs/>
                <w:kern w:val="0"/>
                <w:sz w:val="24"/>
                <w:szCs w:val="20"/>
                <w:lang w:val="en-US" w:eastAsia="zh-CN" w:bidi="ar-SA"/>
              </w:rPr>
            </w:r>
          </w:p>
          <w:p>
            <w:pPr>
              <w:pStyle w:val="Normal"/>
              <w:widowControl/>
              <w:spacing w:before="0" w:after="0"/>
              <w:ind w:firstLine="482"/>
              <w:jc w:val="center"/>
              <w:rPr>
                <w:sz w:val="24"/>
              </w:rPr>
            </w:pPr>
            <w:r>
              <w:rPr>
                <w:b/>
                <w:bCs/>
                <w:kern w:val="0"/>
                <w:sz w:val="24"/>
                <w:szCs w:val="20"/>
                <w:lang w:val="en-US" w:eastAsia="zh-CN" w:bidi="ar-SA"/>
              </w:rPr>
              <w:t>STL</w:t>
            </w:r>
          </w:p>
          <w:p>
            <w:pPr>
              <w:pStyle w:val="Normal"/>
              <w:spacing w:before="0" w:after="0"/>
              <w:ind w:firstLine="482"/>
              <w:jc w:val="center"/>
              <w:rPr>
                <w:sz w:val="24"/>
              </w:rPr>
            </w:pPr>
            <w:r>
              <w:rPr>
                <w:b/>
                <w:bCs/>
                <w:kern w:val="0"/>
                <w:sz w:val="24"/>
                <w:szCs w:val="20"/>
                <w:lang w:val="en-US" w:eastAsia="zh-CN" w:bidi="ar-SA"/>
              </w:rPr>
              <w:t>FEA</w:t>
            </w:r>
          </w:p>
        </w:tc>
        <w:tc>
          <w:tcPr>
            <w:tcW w:w="3827" w:type="dxa"/>
            <w:tcBorders>
              <w:top w:val="single" w:sz="4" w:space="0" w:color="000000"/>
              <w:bottom w:val="single" w:sz="18" w:space="0" w:color="000000"/>
            </w:tcBorders>
          </w:tcPr>
          <w:p>
            <w:pPr>
              <w:pStyle w:val="Normal"/>
              <w:widowControl/>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Cone beam computed tomograph</w:t>
            </w:r>
          </w:p>
          <w:p>
            <w:pPr>
              <w:pStyle w:val="Normal"/>
              <w:widowControl/>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Digital imaging and</w:t>
            </w:r>
          </w:p>
          <w:p>
            <w:pPr>
              <w:pStyle w:val="Normal"/>
              <w:widowControl/>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communications in medicine</w:t>
            </w:r>
          </w:p>
          <w:p>
            <w:pPr>
              <w:pStyle w:val="Normal"/>
              <w:widowControl/>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Standard template library</w:t>
            </w:r>
          </w:p>
          <w:p>
            <w:pPr>
              <w:pStyle w:val="Normal"/>
              <w:spacing w:before="0" w:after="0"/>
              <w:ind w:firstLine="420"/>
              <w:jc w:val="center"/>
              <w:cnfStyle w:val="000000000000" w:firstRow="0" w:lastRow="0" w:firstColumn="0" w:lastColumn="0" w:oddVBand="0" w:evenVBand="0" w:oddHBand="0" w:evenHBand="0" w:firstRowFirstColumn="0" w:firstRowLastColumn="0" w:lastRowFirstColumn="0" w:lastRowLastColumn="0"/>
              <w:rPr>
                <w:sz w:val="24"/>
              </w:rPr>
            </w:pPr>
            <w:r>
              <w:rPr>
                <w:kern w:val="0"/>
                <w:szCs w:val="20"/>
                <w:lang w:val="en-US" w:eastAsia="zh-CN" w:bidi="ar-SA"/>
              </w:rPr>
              <w:t>Finite Element Analysis</w:t>
            </w:r>
          </w:p>
        </w:tc>
        <w:tc>
          <w:tcPr>
            <w:tcW w:w="3000" w:type="dxa"/>
            <w:tcBorders>
              <w:top w:val="single" w:sz="4" w:space="0" w:color="000000"/>
              <w:bottom w:val="single" w:sz="18" w:space="0" w:color="000000"/>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kern w:val="0"/>
                <w:sz w:val="24"/>
                <w:szCs w:val="20"/>
                <w:lang w:val="en-US" w:eastAsia="zh-CN" w:bidi="ar-SA"/>
              </w:rPr>
              <w:t>锥体束计算机断层扫描</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kern w:val="0"/>
                <w:sz w:val="24"/>
                <w:szCs w:val="20"/>
                <w:lang w:val="en-US" w:eastAsia="zh-CN" w:bidi="ar-SA"/>
              </w:rPr>
              <w:t>医学数字图像通讯协议</w:t>
            </w:r>
          </w:p>
          <w:p>
            <w:pPr>
              <w:pStyle w:val="Normal"/>
              <w:widowControl/>
              <w:spacing w:before="0" w:after="0"/>
              <w:ind w:firstLine="480"/>
              <w:jc w:val="center"/>
              <w:cnfStyle w:val="000000000000" w:firstRow="0" w:lastRow="0" w:firstColumn="0" w:lastColumn="0" w:oddVBand="0" w:evenVBand="0" w:oddHBand="0" w:evenHBand="0" w:firstRowFirstColumn="0" w:firstRowLastColumn="0" w:lastRowFirstColumn="0" w:lastRowLastColumn="0"/>
              <w:rPr>
                <w:sz w:val="24"/>
              </w:rPr>
            </w:pPr>
            <w:r>
              <w:rPr>
                <w:kern w:val="0"/>
                <w:sz w:val="24"/>
                <w:szCs w:val="20"/>
                <w:lang w:val="en-US" w:eastAsia="zh-CN" w:bidi="ar-SA"/>
              </w:rPr>
            </w:r>
          </w:p>
          <w:p>
            <w:pPr>
              <w:pStyle w:val="Normal"/>
              <w:widowControl/>
              <w:spacing w:before="0" w:after="0"/>
              <w:ind w:firstLine="480"/>
              <w:cnfStyle w:val="000000000000" w:firstRow="0" w:lastRow="0" w:firstColumn="0" w:lastColumn="0" w:oddVBand="0" w:evenVBand="0" w:oddHBand="0" w:evenHBand="0" w:firstRowFirstColumn="0" w:firstRowLastColumn="0" w:lastRowFirstColumn="0" w:lastRowLastColumn="0"/>
              <w:rPr>
                <w:sz w:val="24"/>
              </w:rPr>
            </w:pPr>
            <w:r>
              <w:rPr>
                <w:kern w:val="0"/>
                <w:sz w:val="24"/>
                <w:szCs w:val="20"/>
                <w:lang w:val="en-US" w:eastAsia="zh-CN" w:bidi="ar-SA"/>
              </w:rPr>
              <w:t>标准模板库</w:t>
            </w:r>
          </w:p>
          <w:p>
            <w:pPr>
              <w:pStyle w:val="Normal"/>
              <w:spacing w:before="0" w:after="0"/>
              <w:ind w:firstLine="480"/>
              <w:cnfStyle w:val="000000000000" w:firstRow="0" w:lastRow="0" w:firstColumn="0" w:lastColumn="0" w:oddVBand="0" w:evenVBand="0" w:oddHBand="0" w:evenHBand="0" w:firstRowFirstColumn="0" w:firstRowLastColumn="0" w:lastRowFirstColumn="0" w:lastRowLastColumn="0"/>
              <w:rPr>
                <w:sz w:val="24"/>
              </w:rPr>
            </w:pPr>
            <w:r>
              <w:rPr>
                <w:kern w:val="0"/>
                <w:sz w:val="24"/>
                <w:szCs w:val="20"/>
                <w:lang w:val="en-US" w:eastAsia="zh-CN" w:bidi="ar-SA"/>
              </w:rPr>
              <w:t>有限元分析</w:t>
            </w:r>
          </w:p>
        </w:tc>
      </w:tr>
    </w:tbl>
    <w:p>
      <w:pPr>
        <w:sectPr>
          <w:headerReference w:type="default" r:id="rId23"/>
          <w:headerReference w:type="first" r:id="rId24"/>
          <w:footerReference w:type="default" r:id="rId25"/>
          <w:footerReference w:type="first" r:id="rId26"/>
          <w:type w:val="nextPage"/>
          <w:pgSz w:w="11906" w:h="16838"/>
          <w:pgMar w:left="1800" w:right="1800" w:gutter="0" w:header="851" w:top="1440" w:footer="992" w:bottom="1440"/>
          <w:pgNumType w:start="1" w:fmt="decimal"/>
          <w:formProt w:val="false"/>
          <w:textDirection w:val="lrTb"/>
          <w:docGrid w:type="lines" w:linePitch="312" w:charSpace="0"/>
        </w:sectPr>
      </w:pPr>
    </w:p>
    <w:p>
      <w:pPr>
        <w:pStyle w:val="Normal"/>
        <w:widowControl/>
        <w:spacing w:lineRule="exact" w:line="400" w:before="436" w:after="436"/>
        <w:ind w:firstLine="697"/>
        <w:jc w:val="center"/>
        <w:rPr>
          <w:rFonts w:eastAsia="黑体"/>
          <w:b/>
          <w:sz w:val="32"/>
          <w:szCs w:val="32"/>
        </w:rPr>
      </w:pPr>
      <w:r>
        <w:rPr>
          <w:rFonts w:eastAsia="黑体"/>
          <w:b/>
          <w:sz w:val="32"/>
          <w:szCs w:val="32"/>
        </w:rPr>
      </w:r>
    </w:p>
    <w:p>
      <w:pPr>
        <w:sectPr>
          <w:type w:val="continuous"/>
          <w:pgSz w:w="11906" w:h="16838"/>
          <w:pgMar w:left="1800" w:right="1800" w:gutter="0" w:header="851" w:top="1440" w:footer="992" w:bottom="1440"/>
          <w:formProt w:val="false"/>
          <w:textDirection w:val="lrTb"/>
          <w:docGrid w:type="lines" w:linePitch="312" w:charSpace="0"/>
        </w:sectPr>
      </w:pPr>
    </w:p>
    <w:p>
      <w:pPr>
        <w:pStyle w:val="Normal"/>
        <w:widowControl/>
        <w:spacing w:lineRule="exact" w:line="400" w:before="872" w:after="436"/>
        <w:jc w:val="center"/>
        <w:rPr>
          <w:sz w:val="32"/>
        </w:rPr>
      </w:pPr>
      <w:r>
        <w:rPr>
          <w:rFonts w:eastAsia="黑体"/>
          <w:b/>
          <w:sz w:val="32"/>
          <w:szCs w:val="32"/>
        </w:rPr>
        <w:t>第一章 绪论</w:t>
      </w:r>
    </w:p>
    <w:p>
      <w:pPr>
        <w:pStyle w:val="BodyText"/>
        <w:spacing w:lineRule="exact" w:line="400" w:before="0" w:after="0"/>
        <w:ind w:firstLine="535"/>
        <w:rPr>
          <w:rFonts w:ascii="宋体" w:hAnsi="宋体"/>
          <w:sz w:val="24"/>
        </w:rPr>
      </w:pPr>
      <w:r>
        <w:rPr>
          <w:rFonts w:ascii="宋体" w:hAnsi="宋体"/>
          <w:sz w:val="24"/>
        </w:rPr>
        <w:t>下颌骨骨折的损伤机制与其解剖特点密切相关，由于解剖形态较为突出，且存在诸多薄弱区，如下颌角，髁状突等位置，在受外力下容易发生骨折，下颌骨骨折的发生率在颌面部骨折中占比较大，约为</w:t>
      </w:r>
      <w:r>
        <w:rPr>
          <w:sz w:val="24"/>
          <w:lang w:bidi="ar-SA"/>
        </w:rPr>
        <w:t>70%</w:t>
      </w:r>
      <w:r>
        <w:rPr>
          <w:sz w:val="24"/>
          <w:vertAlign w:val="superscript"/>
          <w:lang w:bidi="ar-SA"/>
        </w:rPr>
        <w:t>[1]</w:t>
      </w:r>
      <w:r>
        <w:rPr>
          <w:rFonts w:ascii="宋体" w:hAnsi="宋体"/>
          <w:sz w:val="24"/>
        </w:rPr>
        <w:t>。下颌升支位于髁突及喙突下，下颌角上部，虽然骨板厚度较相对下颌体较薄，但不易发生骨折，有研究表明，下颌升支骨折的发生率占所有骨折的</w:t>
      </w:r>
      <w:r>
        <w:rPr>
          <w:rFonts w:ascii="宋体" w:hAnsi="宋体"/>
          <w:sz w:val="24"/>
        </w:rPr>
        <w:t>17.5%</w:t>
      </w:r>
      <w:r>
        <w:rPr>
          <w:rFonts w:ascii="宋体" w:hAnsi="宋体"/>
          <w:sz w:val="24"/>
          <w:vertAlign w:val="superscript"/>
        </w:rPr>
        <w:t>[2]</w:t>
      </w:r>
      <w:r>
        <w:rPr>
          <w:rFonts w:ascii="宋体" w:hAnsi="宋体"/>
          <w:sz w:val="24"/>
        </w:rPr>
        <w:t>，发生率约为</w:t>
      </w:r>
      <w:r>
        <w:rPr>
          <w:sz w:val="24"/>
          <w:lang w:bidi="ar-SA"/>
        </w:rPr>
        <w:t>7%</w:t>
      </w:r>
      <w:r>
        <w:rPr>
          <w:sz w:val="24"/>
          <w:vertAlign w:val="superscript"/>
          <w:lang w:bidi="ar-SA"/>
        </w:rPr>
        <w:t>[3]</w:t>
      </w:r>
      <w:r>
        <w:rPr>
          <w:rFonts w:ascii="宋体" w:hAnsi="宋体"/>
          <w:sz w:val="24"/>
        </w:rPr>
        <w:t>，</w:t>
      </w:r>
      <w:r>
        <w:rPr>
          <w:sz w:val="24"/>
          <w:lang w:bidi="ar-SA"/>
        </w:rPr>
        <w:t>6.1%</w:t>
      </w:r>
      <w:r>
        <w:rPr>
          <w:sz w:val="24"/>
          <w:vertAlign w:val="superscript"/>
          <w:lang w:bidi="ar-SA"/>
        </w:rPr>
        <w:t>[4]</w:t>
      </w:r>
      <w:r>
        <w:rPr>
          <w:rFonts w:ascii="宋体" w:hAnsi="宋体"/>
          <w:sz w:val="24"/>
        </w:rPr>
        <w:t>，</w:t>
      </w:r>
      <w:r>
        <w:rPr>
          <w:sz w:val="24"/>
          <w:lang w:bidi="ar-SA"/>
        </w:rPr>
        <w:t>6.6%</w:t>
      </w:r>
      <w:r>
        <w:rPr>
          <w:sz w:val="24"/>
          <w:vertAlign w:val="superscript"/>
          <w:lang w:bidi="ar-SA"/>
        </w:rPr>
        <w:t>[4]</w:t>
      </w:r>
      <w:r>
        <w:rPr>
          <w:rFonts w:ascii="宋体" w:hAnsi="宋体"/>
          <w:sz w:val="24"/>
        </w:rPr>
        <w:t>，发生率仅占所有骨折的</w:t>
      </w:r>
      <w:r>
        <w:rPr>
          <w:rFonts w:ascii="宋体" w:hAnsi="宋体"/>
          <w:sz w:val="24"/>
        </w:rPr>
        <w:t>1.98%</w:t>
      </w:r>
      <w:r>
        <w:rPr>
          <w:rFonts w:ascii="宋体" w:hAnsi="宋体"/>
          <w:sz w:val="24"/>
          <w:vertAlign w:val="superscript"/>
        </w:rPr>
        <w:t>[5]</w:t>
      </w:r>
      <w:r>
        <w:rPr>
          <w:rFonts w:ascii="宋体" w:hAnsi="宋体"/>
          <w:sz w:val="24"/>
        </w:rPr>
        <w:t>，下颌升支骨折发生率仅高于髁突骨折</w:t>
      </w:r>
      <w:r>
        <w:rPr>
          <w:rFonts w:ascii="宋体" w:hAnsi="宋体"/>
          <w:sz w:val="24"/>
          <w:vertAlign w:val="superscript"/>
        </w:rPr>
        <w:t>[6-8]</w:t>
      </w:r>
      <w:r>
        <w:rPr>
          <w:rFonts w:ascii="宋体" w:hAnsi="宋体"/>
          <w:sz w:val="24"/>
        </w:rPr>
        <w:t>，属罕见骨折。</w:t>
      </w:r>
    </w:p>
    <w:p>
      <w:pPr>
        <w:pStyle w:val="BodyText"/>
        <w:spacing w:lineRule="exact" w:line="400" w:before="0" w:after="0"/>
        <w:ind w:firstLine="535"/>
        <w:rPr>
          <w:rFonts w:ascii="宋体" w:hAnsi="宋体"/>
          <w:sz w:val="24"/>
        </w:rPr>
      </w:pPr>
      <w:r>
        <w:rPr>
          <w:rFonts w:ascii="宋体" w:hAnsi="宋体"/>
          <w:sz w:val="24"/>
        </w:rPr>
        <w:t>下颌升支骨折的主要发生原因为</w:t>
      </w:r>
    </w:p>
    <w:p>
      <w:pPr>
        <w:pStyle w:val="BodyText"/>
        <w:spacing w:lineRule="exact" w:line="400" w:before="0" w:after="0"/>
        <w:ind w:firstLine="535"/>
        <w:rPr>
          <w:rFonts w:ascii="宋体" w:hAnsi="宋体"/>
          <w:sz w:val="24"/>
        </w:rPr>
      </w:pPr>
      <w:r>
        <w:rPr>
          <w:rFonts w:ascii="宋体" w:hAnsi="宋体"/>
          <w:sz w:val="24"/>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rPr>
          <w:rFonts w:ascii="宋体" w:hAnsi="宋体"/>
          <w:sz w:val="24"/>
          <w:vertAlign w:val="superscript"/>
        </w:rPr>
        <w:t>[9]</w:t>
      </w:r>
      <w:r>
        <w:rPr>
          <w:rFonts w:ascii="宋体" w:hAnsi="宋体"/>
          <w:sz w:val="24"/>
        </w:rPr>
        <w:t>。切开复位内固定术是另一种治疗面部骨折的方案，</w:t>
      </w:r>
      <w:r>
        <w:rPr>
          <w:sz w:val="24"/>
          <w:lang w:bidi="ar-SA"/>
        </w:rPr>
        <w:t>Brons</w:t>
      </w:r>
      <w:r>
        <w:rPr>
          <w:rFonts w:ascii="宋体" w:hAnsi="宋体"/>
          <w:sz w:val="24"/>
        </w:rPr>
        <w:t>和</w:t>
      </w:r>
      <w:r>
        <w:rPr>
          <w:sz w:val="24"/>
          <w:lang w:bidi="ar-SA"/>
        </w:rPr>
        <w:t>Boering</w:t>
      </w:r>
      <w:r>
        <w:rPr>
          <w:rFonts w:ascii="宋体" w:hAnsi="宋体"/>
          <w:sz w:val="24"/>
        </w:rPr>
        <w:t>将最初用于手部手术的小型接骨板板用于下颌骨骨折的治疗。</w:t>
      </w:r>
      <w:r>
        <w:rPr>
          <w:sz w:val="24"/>
          <w:lang w:bidi="ar-SA"/>
        </w:rPr>
        <w:t xml:space="preserve">Michelet </w:t>
      </w:r>
      <w:r>
        <w:rPr>
          <w:rFonts w:ascii="宋体" w:hAnsi="宋体"/>
          <w:sz w:val="24"/>
        </w:rPr>
        <w:t>等人</w:t>
      </w:r>
      <w:r>
        <w:rPr>
          <w:sz w:val="24"/>
          <w:lang w:bidi="ar-SA"/>
        </w:rPr>
        <w:t xml:space="preserve"> </w:t>
      </w:r>
      <w:r>
        <w:rPr>
          <w:sz w:val="24"/>
          <w:lang w:bidi="ar-SA"/>
        </w:rPr>
        <w:t xml:space="preserve">(1973) </w:t>
      </w:r>
      <w:r>
        <w:rPr>
          <w:rFonts w:ascii="宋体" w:hAnsi="宋体"/>
          <w:sz w:val="24"/>
        </w:rPr>
        <w:t>在</w:t>
      </w:r>
      <w:r>
        <w:rPr>
          <w:sz w:val="24"/>
          <w:lang w:bidi="ar-SA"/>
        </w:rPr>
        <w:t>300</w:t>
      </w:r>
      <w:r>
        <w:rPr>
          <w:rFonts w:ascii="宋体" w:hAnsi="宋体"/>
          <w:sz w:val="24"/>
        </w:rPr>
        <w:t>多例下颌骨骨折中应用了微型钢板。他将材料沿着张力轨迹放置，并使用单皮质螺钉以避免损伤牙根。在大多数情况下，术后无需进行颌间固定。如今研究及指南建议使用切开复位内固定</w:t>
      </w:r>
      <w:r>
        <w:rPr>
          <w:sz w:val="24"/>
          <w:lang w:bidi="ar-SA"/>
        </w:rPr>
        <w:t>（</w:t>
      </w:r>
      <w:r>
        <w:rPr>
          <w:sz w:val="24"/>
          <w:lang w:bidi="ar-SA"/>
        </w:rPr>
        <w:t>OpenReductionInternalFixation</w:t>
      </w:r>
      <w:r>
        <w:rPr>
          <w:sz w:val="24"/>
          <w:lang w:bidi="ar-SA"/>
        </w:rPr>
        <w:t>，</w:t>
      </w:r>
      <w:r>
        <w:rPr>
          <w:sz w:val="24"/>
          <w:lang w:bidi="ar-SA"/>
        </w:rPr>
        <w:t>ORIF</w:t>
      </w:r>
      <w:r>
        <w:rPr>
          <w:sz w:val="24"/>
          <w:lang w:bidi="ar-SA"/>
        </w:rPr>
        <w:t>）</w:t>
      </w:r>
      <w:r>
        <w:rPr>
          <w:rFonts w:ascii="宋体" w:hAnsi="宋体"/>
          <w:sz w:val="24"/>
        </w:rPr>
        <w:t>的手术方法</w:t>
      </w:r>
      <w:r>
        <w:rPr>
          <w:rFonts w:ascii="宋体" w:hAnsi="宋体"/>
          <w:sz w:val="24"/>
          <w:vertAlign w:val="superscript"/>
        </w:rPr>
        <w:t>[10]</w:t>
      </w:r>
      <w:r>
        <w:rPr>
          <w:rFonts w:ascii="宋体" w:hAnsi="宋体"/>
          <w:sz w:val="24"/>
        </w:rPr>
        <w:t>。</w:t>
      </w:r>
    </w:p>
    <w:p>
      <w:pPr>
        <w:pStyle w:val="BodyText"/>
        <w:spacing w:lineRule="exact" w:line="400" w:before="0" w:after="0"/>
        <w:ind w:firstLine="535"/>
        <w:rPr>
          <w:rFonts w:ascii="宋体" w:hAnsi="宋体"/>
          <w:sz w:val="24"/>
        </w:rPr>
      </w:pPr>
      <w:r>
        <w:rPr>
          <w:rFonts w:ascii="宋体" w:hAnsi="宋体"/>
          <w:sz w:val="24"/>
        </w:rPr>
        <w:t>力学是颌面部骨折发生、治疗及影响预后的重要因素，骨折的发生位置和严重程度是受到了不同方向及类型的力所导致的，其致伤机制与力学的作用密不可分</w:t>
      </w:r>
      <w:r>
        <w:rPr>
          <w:rFonts w:ascii="宋体" w:hAnsi="宋体"/>
          <w:sz w:val="24"/>
          <w:vertAlign w:val="superscript"/>
        </w:rPr>
        <w:t>[11]</w:t>
      </w:r>
      <w:r>
        <w:rPr>
          <w:rFonts w:ascii="宋体" w:hAnsi="宋体"/>
          <w:sz w:val="24"/>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严重影响，具体受到什么影响引用。</w:t>
      </w:r>
    </w:p>
    <w:p>
      <w:pPr>
        <w:pStyle w:val="BodyText"/>
        <w:spacing w:lineRule="exact" w:line="400" w:before="0" w:after="0"/>
        <w:ind w:firstLine="535"/>
        <w:rPr>
          <w:rFonts w:ascii="宋体" w:hAnsi="宋体"/>
          <w:sz w:val="24"/>
        </w:rPr>
      </w:pPr>
      <w:r>
        <w:rPr>
          <w:rFonts w:ascii="宋体" w:hAnsi="宋体"/>
          <w:sz w:val="24"/>
        </w:rPr>
        <w:t>交叉学科法是重要的医学研究方法，通过使用其他领域优秀的研究方法来研究本学科自身难以解决的问题，如近年来多使用计算机科学中的人工智能技术来建立可辅助诊断的模型</w:t>
      </w:r>
      <w:r>
        <w:rPr>
          <w:rFonts w:ascii="宋体" w:hAnsi="宋体"/>
          <w:sz w:val="24"/>
          <w:vertAlign w:val="superscript"/>
        </w:rPr>
        <w:t>[12]</w:t>
      </w:r>
      <w:r>
        <w:rPr>
          <w:rFonts w:ascii="宋体" w:hAnsi="宋体"/>
          <w:sz w:val="24"/>
        </w:rPr>
        <w:t xml:space="preserve"> </w:t>
      </w:r>
    </w:p>
    <w:p>
      <w:pPr>
        <w:pStyle w:val="BodyText"/>
        <w:spacing w:lineRule="exact" w:line="400" w:before="0" w:after="0"/>
        <w:ind w:firstLine="535"/>
        <w:rPr>
          <w:rFonts w:ascii="宋体" w:hAnsi="宋体"/>
          <w:sz w:val="24"/>
        </w:rPr>
      </w:pPr>
      <w:r>
        <w:rPr>
          <w:rFonts w:ascii="宋体" w:hAnsi="宋体"/>
          <w:sz w:val="24"/>
        </w:rPr>
        <w:t>通过引用力学学的研究方法，可有效的对发生的机制等临床问题进行研究分析</w:t>
      </w:r>
      <w:r>
        <w:rPr>
          <w:rFonts w:ascii="宋体" w:hAnsi="宋体"/>
          <w:sz w:val="24"/>
          <w:vertAlign w:val="superscript"/>
        </w:rPr>
        <w:t>[11]</w:t>
      </w:r>
      <w:r>
        <w:rPr>
          <w:rFonts w:ascii="宋体" w:hAnsi="宋体"/>
          <w:sz w:val="24"/>
        </w:rPr>
        <w:t xml:space="preserve"> </w:t>
      </w:r>
      <w:r>
        <w:rPr>
          <w:rFonts w:ascii="宋体" w:hAnsi="宋体"/>
          <w:sz w:val="24"/>
        </w:rPr>
        <w:t>。</w:t>
      </w:r>
    </w:p>
    <w:p>
      <w:pPr>
        <w:pStyle w:val="BodyText"/>
        <w:spacing w:lineRule="exact" w:line="400" w:before="0" w:after="0"/>
        <w:ind w:firstLine="535"/>
        <w:rPr>
          <w:rFonts w:ascii="宋体" w:hAnsi="宋体"/>
          <w:sz w:val="24"/>
        </w:rPr>
      </w:pPr>
      <w:r>
        <w:rPr>
          <w:rFonts w:ascii="宋体" w:hAnsi="宋体"/>
          <w:sz w:val="24"/>
        </w:rPr>
        <w:t>有限元分析法是一种重要的力学研究方法，可通过计算机模拟仿真的方式，给物体上分配不同材料后施加载荷，来预测物体对力的反应</w:t>
      </w:r>
      <w:r>
        <w:rPr>
          <w:rFonts w:ascii="宋体" w:hAnsi="宋体"/>
          <w:sz w:val="24"/>
          <w:vertAlign w:val="superscript"/>
        </w:rPr>
        <w:t>[13]</w:t>
      </w:r>
      <w:r>
        <w:rPr>
          <w:rFonts w:ascii="宋体" w:hAnsi="宋体"/>
          <w:sz w:val="24"/>
        </w:rPr>
        <w:t>。</w:t>
      </w:r>
      <w:r>
        <w:rPr>
          <w:sz w:val="24"/>
          <w:lang w:bidi="ar-SA"/>
        </w:rPr>
        <w:t>1960</w:t>
      </w:r>
      <w:r>
        <w:rPr>
          <w:rFonts w:ascii="宋体" w:hAnsi="宋体"/>
          <w:sz w:val="24"/>
        </w:rPr>
        <w:t>年，</w:t>
      </w:r>
      <w:r>
        <w:rPr>
          <w:sz w:val="24"/>
          <w:lang w:bidi="ar-SA"/>
        </w:rPr>
        <w:t>Friedenberg</w:t>
      </w:r>
      <w:r>
        <w:rPr>
          <w:rFonts w:ascii="宋体" w:hAnsi="宋体"/>
          <w:sz w:val="24"/>
          <w:vertAlign w:val="superscript"/>
        </w:rPr>
        <w:t>[14]</w:t>
      </w:r>
      <w:r>
        <w:rPr>
          <w:rFonts w:ascii="宋体" w:hAnsi="宋体"/>
          <w:sz w:val="24"/>
        </w:rPr>
        <w:t>首次将有限元法引入到医学领域。</w:t>
      </w:r>
      <w:r>
        <w:rPr>
          <w:sz w:val="24"/>
          <w:lang w:bidi="ar-SA"/>
        </w:rPr>
        <w:t>1973</w:t>
      </w:r>
      <w:r>
        <w:rPr>
          <w:rFonts w:ascii="宋体" w:hAnsi="宋体"/>
          <w:sz w:val="24"/>
        </w:rPr>
        <w:t>年，有限元法被</w:t>
      </w:r>
      <w:r>
        <w:rPr>
          <w:sz w:val="24"/>
          <w:lang w:bidi="ar-SA"/>
        </w:rPr>
        <w:t>Thresher</w:t>
      </w:r>
      <w:r>
        <w:rPr>
          <w:rFonts w:ascii="宋体" w:hAnsi="宋体"/>
          <w:sz w:val="24"/>
        </w:rPr>
        <w:t>等</w:t>
      </w:r>
      <w:r>
        <w:rPr>
          <w:rFonts w:ascii="宋体" w:hAnsi="宋体"/>
          <w:sz w:val="24"/>
          <w:vertAlign w:val="superscript"/>
        </w:rPr>
        <w:t>[15]</w:t>
      </w:r>
      <w:r>
        <w:rPr>
          <w:rFonts w:ascii="宋体" w:hAnsi="宋体"/>
          <w:sz w:val="24"/>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rPr>
          <w:rFonts w:ascii="宋体" w:hAnsi="宋体"/>
          <w:sz w:val="24"/>
          <w:vertAlign w:val="superscript"/>
        </w:rPr>
        <w:t>[16]</w:t>
      </w:r>
      <w:r>
        <w:rPr>
          <w:rFonts w:ascii="宋体" w:hAnsi="宋体"/>
          <w:sz w:val="24"/>
        </w:rPr>
        <w:t>，在传统的生物力学分析中，常使用解剖模型或者树脂模型来进行力学分析</w:t>
      </w:r>
      <w:r>
        <w:rPr>
          <w:rFonts w:ascii="宋体" w:hAnsi="宋体"/>
          <w:sz w:val="24"/>
          <w:vertAlign w:val="superscript"/>
        </w:rPr>
        <w:t>[17]</w:t>
      </w:r>
      <w:r>
        <w:rPr>
          <w:rFonts w:ascii="宋体" w:hAnsi="宋体"/>
          <w:sz w:val="24"/>
        </w:rPr>
        <w:t>，存在成本较高，直观性较差，破坏性较强等缺点，模型及固定在模型上的微钛版在使用万能试验机进行一次实验后，会发生变形，甚至断裂，若想完成大量实验成本较高，而此方法可以将数字化的影像资料如</w:t>
      </w:r>
      <w:r>
        <w:rPr>
          <w:rFonts w:ascii="宋体" w:hAnsi="宋体"/>
          <w:sz w:val="24"/>
        </w:rPr>
        <w:t>CBCT</w:t>
      </w:r>
      <w:r>
        <w:rPr>
          <w:rFonts w:ascii="宋体" w:hAnsi="宋体"/>
          <w:sz w:val="24"/>
        </w:rPr>
        <w:t>进行三维重建，来在计算机上模拟体外模型，有无破坏性，可重复实验，可量化分析，实验成本较低等优点，故本研究采用计算机模拟的三维有限元分析的方法进行实验。</w:t>
      </w:r>
    </w:p>
    <w:p>
      <w:pPr>
        <w:pStyle w:val="BodyText"/>
        <w:spacing w:lineRule="exact" w:line="400" w:before="0" w:after="0"/>
        <w:ind w:firstLine="535"/>
        <w:rPr>
          <w:rFonts w:ascii="宋体" w:hAnsi="宋体"/>
          <w:sz w:val="24"/>
        </w:rPr>
      </w:pPr>
      <w:r>
        <w:rPr>
          <w:rFonts w:ascii="宋体" w:hAnsi="宋体"/>
          <w:sz w:val="24"/>
        </w:rPr>
        <w:t>下颌升支骨折的坚强内固定术的手术方案设计目前尚未明确，有病例报道下颌升支骨折时采用三点固定法，即使用三个两孔微钛版可达到稳定的固定效果，而有其他学者表明使用两点固定即可达到相同的效果，无需使用三点固定引用。</w:t>
      </w:r>
    </w:p>
    <w:p>
      <w:pPr>
        <w:sectPr>
          <w:headerReference w:type="default" r:id="rId27"/>
          <w:footerReference w:type="default" r:id="rId28"/>
          <w:type w:val="nextPage"/>
          <w:pgSz w:w="11906" w:h="16838"/>
          <w:pgMar w:left="1797" w:right="1797" w:gutter="0" w:header="851" w:top="1440" w:footer="992" w:bottom="1440"/>
          <w:pgNumType w:fmt="decimal"/>
          <w:formProt w:val="false"/>
          <w:textDirection w:val="lrTb"/>
          <w:docGrid w:type="linesAndChars" w:linePitch="436" w:charSpace="5324"/>
        </w:sectPr>
        <w:pStyle w:val="BodyText"/>
        <w:spacing w:lineRule="exact" w:line="400" w:before="0" w:after="0"/>
        <w:ind w:firstLine="535"/>
        <w:rPr>
          <w:rFonts w:ascii="宋体" w:hAnsi="宋体"/>
          <w:sz w:val="24"/>
        </w:rPr>
      </w:pPr>
      <w:r>
        <w:rPr>
          <w:rFonts w:ascii="宋体" w:hAnsi="宋体"/>
          <w:sz w:val="24"/>
        </w:rPr>
        <w:t>在使用两点固定法时，两微钛板之间的距离选择尚无明确结论，故本研究采用有限元分析的方法，从生物力学的角度阐明不同微钛板间距对术后稳定性的影响，为下颌升支骨折手术方案的设计提供生物力学理论基础。</w:t>
      </w:r>
    </w:p>
    <w:p>
      <w:pPr>
        <w:pStyle w:val="Normal"/>
        <w:spacing w:lineRule="exact" w:line="400"/>
        <w:rPr>
          <w:rFonts w:eastAsia="黑体"/>
          <w:b/>
          <w:sz w:val="32"/>
          <w:szCs w:val="32"/>
        </w:rPr>
      </w:pPr>
      <w:r>
        <w:rPr>
          <w:rFonts w:eastAsia="黑体"/>
          <w:b/>
          <w:sz w:val="32"/>
          <w:szCs w:val="32"/>
        </w:rPr>
      </w:r>
    </w:p>
    <w:p>
      <w:pPr>
        <w:pStyle w:val="Normal"/>
        <w:spacing w:lineRule="exact" w:line="400"/>
        <w:jc w:val="center"/>
        <w:rPr>
          <w:sz w:val="32"/>
        </w:rPr>
      </w:pPr>
      <w:r>
        <w:rPr>
          <w:rFonts w:eastAsia="黑体"/>
          <w:b/>
          <w:sz w:val="32"/>
          <w:szCs w:val="32"/>
        </w:rPr>
        <w:t>第二章  材料和方法</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2.1</w:t>
      </w:r>
      <w:r>
        <w:rPr>
          <w:rFonts w:ascii="黑体" w:hAnsi="黑体" w:eastAsia="黑体"/>
          <w:sz w:val="30"/>
          <w:szCs w:val="30"/>
        </w:rPr>
        <w:t>：材料及设备</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2.1.1</w:t>
      </w:r>
      <w:r>
        <w:rPr>
          <w:rFonts w:ascii="黑体" w:hAnsi="黑体" w:eastAsia="黑体"/>
          <w:sz w:val="28"/>
          <w:szCs w:val="28"/>
        </w:rPr>
        <w:t>扫描设备</w:t>
      </w:r>
    </w:p>
    <w:p>
      <w:pPr>
        <w:pStyle w:val="Normal"/>
        <w:tabs>
          <w:tab w:val="clear" w:pos="420"/>
          <w:tab w:val="left" w:pos="915" w:leader="none"/>
        </w:tabs>
        <w:spacing w:lineRule="exact" w:line="400"/>
        <w:rPr>
          <w:sz w:val="24"/>
          <w:lang w:bidi="ar-SA"/>
        </w:rPr>
      </w:pPr>
      <w:r>
        <w:rPr>
          <w:rFonts w:ascii="宋体" w:hAnsi="宋体"/>
          <w:sz w:val="24"/>
        </w:rPr>
        <w:t>锥体束</w:t>
      </w:r>
      <w:r>
        <w:rPr>
          <w:sz w:val="24"/>
          <w:lang w:bidi="ar-SA"/>
        </w:rPr>
        <w:t>CT</w:t>
      </w:r>
      <w:r>
        <w:rPr>
          <w:rFonts w:ascii="宋体" w:hAnsi="宋体"/>
          <w:sz w:val="24"/>
        </w:rPr>
        <w:t>机：</w:t>
      </w:r>
      <w:r>
        <w:rPr>
          <w:sz w:val="24"/>
          <w:lang w:bidi="ar-SA"/>
        </w:rPr>
        <w:t>Kavo 3D eXam</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2.1.2</w:t>
      </w:r>
      <w:r>
        <w:rPr>
          <w:rFonts w:ascii="黑体" w:hAnsi="黑体" w:eastAsia="黑体"/>
          <w:sz w:val="28"/>
          <w:szCs w:val="28"/>
        </w:rPr>
        <w:t>实验设备</w:t>
      </w:r>
    </w:p>
    <w:p>
      <w:pPr>
        <w:pStyle w:val="Normal"/>
        <w:tabs>
          <w:tab w:val="clear" w:pos="420"/>
          <w:tab w:val="left" w:pos="915" w:leader="none"/>
        </w:tabs>
        <w:spacing w:lineRule="exact" w:line="400"/>
        <w:rPr>
          <w:rFonts w:ascii="宋体" w:hAnsi="宋体"/>
          <w:sz w:val="24"/>
        </w:rPr>
      </w:pPr>
      <w:r>
        <w:rPr>
          <w:rFonts w:ascii="宋体" w:hAnsi="宋体"/>
          <w:sz w:val="24"/>
        </w:rPr>
        <w:t>操作系统：</w:t>
      </w:r>
      <w:r>
        <w:rPr>
          <w:sz w:val="24"/>
          <w:lang w:bidi="ar-SA"/>
        </w:rPr>
        <w:t xml:space="preserve">Microsoft Windows 11 </w:t>
      </w:r>
      <w:r>
        <w:rPr>
          <w:rFonts w:ascii="宋体" w:hAnsi="宋体"/>
          <w:sz w:val="24"/>
        </w:rPr>
        <w:t>专业版</w:t>
      </w:r>
    </w:p>
    <w:p>
      <w:pPr>
        <w:pStyle w:val="Normal"/>
        <w:tabs>
          <w:tab w:val="clear" w:pos="420"/>
          <w:tab w:val="left" w:pos="915" w:leader="none"/>
        </w:tabs>
        <w:spacing w:lineRule="exact" w:line="400"/>
        <w:rPr>
          <w:sz w:val="24"/>
          <w:lang w:bidi="ar-SA"/>
        </w:rPr>
      </w:pPr>
      <w:r>
        <w:rPr>
          <w:rFonts w:ascii="宋体" w:hAnsi="宋体"/>
          <w:sz w:val="24"/>
        </w:rPr>
        <w:t>主板：</w:t>
      </w:r>
      <w:r>
        <w:rPr>
          <w:sz w:val="24"/>
          <w:lang w:bidi="ar-SA"/>
        </w:rPr>
        <w:t>ASUSTek COMPUTER INC. TUF GAMING B550M-PLUS</w:t>
      </w:r>
    </w:p>
    <w:p>
      <w:pPr>
        <w:pStyle w:val="Normal"/>
        <w:tabs>
          <w:tab w:val="clear" w:pos="420"/>
          <w:tab w:val="left" w:pos="915" w:leader="none"/>
        </w:tabs>
        <w:spacing w:lineRule="exact" w:line="400"/>
        <w:rPr>
          <w:rFonts w:ascii="宋体" w:hAnsi="宋体"/>
          <w:sz w:val="24"/>
        </w:rPr>
      </w:pPr>
      <w:r>
        <w:rPr>
          <w:rFonts w:ascii="宋体" w:hAnsi="宋体"/>
          <w:sz w:val="24"/>
        </w:rPr>
        <w:t>中央处理器：</w:t>
      </w:r>
      <w:r>
        <w:rPr>
          <w:sz w:val="24"/>
          <w:lang w:bidi="ar-SA"/>
        </w:rPr>
        <w:t>AMD Ryzen 7 5700X 8-Core Processor</w:t>
      </w:r>
      <w:r>
        <w:rPr>
          <w:rFonts w:ascii="宋体" w:hAnsi="宋体"/>
          <w:sz w:val="24"/>
        </w:rPr>
        <w:t xml:space="preserve"> </w:t>
      </w:r>
      <w:r>
        <w:rPr>
          <w:rFonts w:ascii="宋体" w:hAnsi="宋体"/>
          <w:sz w:val="24"/>
        </w:rPr>
        <w:t>，最大热设计功耗：</w:t>
      </w:r>
      <w:r>
        <w:rPr>
          <w:sz w:val="24"/>
          <w:lang w:bidi="ar-SA"/>
        </w:rPr>
        <w:t>65.0W</w:t>
      </w:r>
      <w:r>
        <w:rPr>
          <w:rFonts w:ascii="宋体" w:hAnsi="宋体"/>
          <w:sz w:val="24"/>
        </w:rPr>
        <w:t>，</w:t>
      </w:r>
      <w:r>
        <w:rPr>
          <w:sz w:val="24"/>
          <w:lang w:bidi="ar-SA"/>
        </w:rPr>
        <w:t>8</w:t>
      </w:r>
      <w:r>
        <w:rPr>
          <w:rFonts w:ascii="宋体" w:hAnsi="宋体"/>
          <w:sz w:val="24"/>
        </w:rPr>
        <w:t>核</w:t>
      </w:r>
      <w:r>
        <w:rPr>
          <w:sz w:val="24"/>
          <w:lang w:bidi="ar-SA"/>
        </w:rPr>
        <w:t>16</w:t>
      </w:r>
      <w:r>
        <w:rPr>
          <w:rFonts w:ascii="宋体" w:hAnsi="宋体"/>
          <w:sz w:val="24"/>
        </w:rPr>
        <w:t>线程，核心速度：</w:t>
      </w:r>
      <w:r>
        <w:rPr>
          <w:sz w:val="24"/>
          <w:lang w:bidi="ar-SA"/>
        </w:rPr>
        <w:t>3400.00MHz</w:t>
      </w:r>
      <w:r>
        <w:rPr>
          <w:rFonts w:ascii="宋体" w:hAnsi="宋体"/>
          <w:sz w:val="24"/>
        </w:rPr>
        <w:t>，倍频：</w:t>
      </w:r>
      <w:r>
        <w:rPr>
          <w:sz w:val="24"/>
          <w:lang w:bidi="ar-SA"/>
        </w:rPr>
        <w:t>5.5-46.5</w:t>
      </w:r>
      <w:r>
        <w:rPr>
          <w:rFonts w:ascii="宋体" w:hAnsi="宋体"/>
          <w:sz w:val="24"/>
        </w:rPr>
        <w:t xml:space="preserve"> </w:t>
      </w:r>
    </w:p>
    <w:p>
      <w:pPr>
        <w:pStyle w:val="Normal"/>
        <w:tabs>
          <w:tab w:val="clear" w:pos="420"/>
          <w:tab w:val="left" w:pos="915" w:leader="none"/>
        </w:tabs>
        <w:spacing w:lineRule="exact" w:line="400"/>
        <w:rPr>
          <w:sz w:val="24"/>
          <w:lang w:bidi="ar-SA"/>
        </w:rPr>
      </w:pPr>
      <w:r>
        <w:rPr>
          <w:rFonts w:ascii="宋体" w:hAnsi="宋体"/>
          <w:sz w:val="24"/>
        </w:rPr>
        <w:t>显卡：</w:t>
      </w:r>
      <w:r>
        <w:rPr>
          <w:sz w:val="24"/>
          <w:lang w:bidi="ar-SA"/>
        </w:rPr>
        <w:t>NVIDIA GeForce RTX 3070 Ti</w:t>
      </w:r>
      <w:r>
        <w:rPr>
          <w:sz w:val="24"/>
          <w:lang w:bidi="ar-SA"/>
        </w:rPr>
        <w:t>，</w:t>
      </w:r>
      <w:r>
        <w:rPr>
          <w:rFonts w:ascii="宋体" w:hAnsi="宋体"/>
          <w:sz w:val="24"/>
        </w:rPr>
        <w:t>显存：</w:t>
      </w:r>
      <w:r>
        <w:rPr>
          <w:sz w:val="24"/>
          <w:lang w:bidi="ar-SA"/>
        </w:rPr>
        <w:t>8192MiB</w:t>
      </w:r>
    </w:p>
    <w:p>
      <w:pPr>
        <w:pStyle w:val="Normal"/>
        <w:tabs>
          <w:tab w:val="clear" w:pos="420"/>
          <w:tab w:val="left" w:pos="915" w:leader="none"/>
        </w:tabs>
        <w:spacing w:lineRule="exact" w:line="400"/>
        <w:rPr>
          <w:sz w:val="24"/>
          <w:lang w:bidi="ar-SA"/>
        </w:rPr>
      </w:pPr>
      <w:r>
        <w:rPr>
          <w:rFonts w:ascii="宋体" w:hAnsi="宋体"/>
          <w:sz w:val="24"/>
        </w:rPr>
        <w:t>运行内存：</w:t>
      </w:r>
      <w:r>
        <w:rPr>
          <w:sz w:val="24"/>
          <w:lang w:bidi="ar-SA"/>
        </w:rPr>
        <w:t>Galaxy Microsystem L td</w:t>
      </w:r>
      <w:r>
        <w:rPr>
          <w:rFonts w:ascii="宋体" w:hAnsi="宋体"/>
          <w:sz w:val="24"/>
        </w:rPr>
        <w:t>，类型：</w:t>
      </w:r>
      <w:r>
        <w:rPr>
          <w:sz w:val="24"/>
          <w:lang w:bidi="ar-SA"/>
        </w:rPr>
        <w:t>DDR4</w:t>
      </w:r>
      <w:r>
        <w:rPr>
          <w:rFonts w:ascii="宋体" w:hAnsi="宋体"/>
          <w:sz w:val="24"/>
        </w:rPr>
        <w:t>，通道数：</w:t>
      </w:r>
      <w:r>
        <w:rPr>
          <w:sz w:val="24"/>
          <w:lang w:bidi="ar-SA"/>
        </w:rPr>
        <w:t>Dual</w:t>
      </w:r>
      <w:r>
        <w:rPr>
          <w:rFonts w:ascii="宋体" w:hAnsi="宋体"/>
          <w:sz w:val="24"/>
        </w:rPr>
        <w:t>，大小：</w:t>
      </w:r>
      <w:r>
        <w:rPr>
          <w:sz w:val="24"/>
          <w:lang w:bidi="ar-SA"/>
        </w:rPr>
        <w:t>32GBytes</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2.1.3</w:t>
      </w:r>
      <w:r>
        <w:rPr>
          <w:rFonts w:ascii="黑体" w:hAnsi="黑体" w:eastAsia="黑体"/>
          <w:sz w:val="28"/>
          <w:szCs w:val="28"/>
        </w:rPr>
        <w:t>使用软件</w:t>
      </w:r>
    </w:p>
    <w:p>
      <w:pPr>
        <w:pStyle w:val="Normal"/>
        <w:tabs>
          <w:tab w:val="clear" w:pos="420"/>
          <w:tab w:val="left" w:pos="915" w:leader="none"/>
        </w:tabs>
        <w:spacing w:lineRule="exact" w:line="400"/>
        <w:rPr>
          <w:rFonts w:ascii="宋体" w:hAnsi="宋体"/>
          <w:sz w:val="24"/>
        </w:rPr>
      </w:pPr>
      <w:r>
        <w:rPr>
          <w:rFonts w:ascii="宋体" w:hAnsi="宋体"/>
          <w:sz w:val="24"/>
        </w:rPr>
        <w:t>医学影像处理软件：</w:t>
      </w:r>
      <w:r>
        <w:rPr>
          <w:sz w:val="24"/>
          <w:lang w:bidi="ar-SA"/>
        </w:rPr>
        <w:t>Mimics 26.0</w:t>
      </w:r>
      <w:r>
        <w:rPr>
          <w:rFonts w:ascii="宋体" w:hAnsi="宋体"/>
          <w:sz w:val="24"/>
        </w:rPr>
        <w:t>，医学影像的三维重建和模型生成</w:t>
      </w:r>
    </w:p>
    <w:p>
      <w:pPr>
        <w:pStyle w:val="Normal"/>
        <w:tabs>
          <w:tab w:val="clear" w:pos="420"/>
          <w:tab w:val="left" w:pos="915" w:leader="none"/>
        </w:tabs>
        <w:spacing w:lineRule="exact" w:line="400"/>
        <w:rPr>
          <w:rFonts w:ascii="宋体" w:hAnsi="宋体"/>
          <w:sz w:val="24"/>
        </w:rPr>
      </w:pPr>
      <w:r>
        <w:rPr>
          <w:rFonts w:ascii="宋体" w:hAnsi="宋体"/>
          <w:sz w:val="24"/>
        </w:rPr>
        <w:t>口腔种植规划软件：</w:t>
      </w:r>
      <w:r>
        <w:rPr>
          <w:sz w:val="24"/>
          <w:lang w:bidi="ar-SA"/>
        </w:rPr>
        <w:t>Blue sky bio 4.1.1</w:t>
      </w:r>
      <w:r>
        <w:rPr>
          <w:rFonts w:ascii="宋体" w:hAnsi="宋体"/>
          <w:sz w:val="24"/>
        </w:rPr>
        <w:t>，三维可视化及颌面部解剖结构模型生成</w:t>
      </w:r>
    </w:p>
    <w:p>
      <w:pPr>
        <w:pStyle w:val="Normal"/>
        <w:tabs>
          <w:tab w:val="clear" w:pos="420"/>
          <w:tab w:val="left" w:pos="915" w:leader="none"/>
        </w:tabs>
        <w:spacing w:lineRule="exact" w:line="400"/>
        <w:rPr>
          <w:rFonts w:ascii="宋体" w:hAnsi="宋体"/>
          <w:sz w:val="24"/>
        </w:rPr>
      </w:pPr>
      <w:r>
        <w:rPr>
          <w:rFonts w:ascii="宋体" w:hAnsi="宋体"/>
          <w:sz w:val="24"/>
        </w:rPr>
        <w:t>三维模型处理软件：</w:t>
      </w:r>
      <w:r>
        <w:rPr>
          <w:sz w:val="24"/>
          <w:lang w:bidi="ar-SA"/>
        </w:rPr>
        <w:t>3-Matic 18.0</w:t>
      </w:r>
      <w:r>
        <w:rPr>
          <w:rFonts w:ascii="宋体" w:hAnsi="宋体"/>
          <w:sz w:val="24"/>
        </w:rPr>
        <w:t>，三维模型处理及正向工程</w:t>
      </w:r>
    </w:p>
    <w:p>
      <w:pPr>
        <w:pStyle w:val="Normal"/>
        <w:tabs>
          <w:tab w:val="clear" w:pos="420"/>
          <w:tab w:val="left" w:pos="915" w:leader="none"/>
        </w:tabs>
        <w:spacing w:lineRule="exact" w:line="400"/>
        <w:rPr>
          <w:rFonts w:ascii="宋体" w:hAnsi="宋体"/>
          <w:sz w:val="24"/>
        </w:rPr>
      </w:pPr>
      <w:r>
        <w:rPr>
          <w:rFonts w:ascii="宋体" w:hAnsi="宋体"/>
          <w:sz w:val="24"/>
        </w:rPr>
        <w:t>逆向工程软件：</w:t>
      </w:r>
      <w:r>
        <w:rPr>
          <w:sz w:val="24"/>
          <w:lang w:bidi="ar-SA"/>
        </w:rPr>
        <w:t>Geomagic Warp 2021</w:t>
      </w:r>
      <w:r>
        <w:rPr>
          <w:rFonts w:ascii="宋体" w:hAnsi="宋体"/>
          <w:sz w:val="24"/>
        </w:rPr>
        <w:t>，三维扫描数据处理及逆向工程</w:t>
      </w:r>
    </w:p>
    <w:p>
      <w:pPr>
        <w:pStyle w:val="Normal"/>
        <w:tabs>
          <w:tab w:val="clear" w:pos="420"/>
          <w:tab w:val="left" w:pos="915" w:leader="none"/>
        </w:tabs>
        <w:spacing w:lineRule="exact" w:line="400"/>
        <w:rPr>
          <w:rFonts w:ascii="宋体" w:hAnsi="宋体"/>
          <w:sz w:val="24"/>
        </w:rPr>
      </w:pPr>
      <w:r>
        <w:rPr>
          <w:rFonts w:ascii="宋体" w:hAnsi="宋体"/>
          <w:sz w:val="24"/>
        </w:rPr>
        <w:t>三维实体直接建模软件：</w:t>
      </w:r>
      <w:r>
        <w:rPr>
          <w:sz w:val="24"/>
          <w:lang w:bidi="ar-SA"/>
        </w:rPr>
        <w:t>SpaceClaim 2021 R1</w:t>
      </w:r>
      <w:r>
        <w:rPr>
          <w:sz w:val="24"/>
          <w:lang w:bidi="ar-SA"/>
        </w:rPr>
        <w:t>，</w:t>
      </w:r>
      <w:r>
        <w:rPr>
          <w:sz w:val="24"/>
          <w:lang w:bidi="ar-SA"/>
        </w:rPr>
        <w:t>CAD</w:t>
      </w:r>
      <w:r>
        <w:rPr>
          <w:rFonts w:ascii="宋体" w:hAnsi="宋体"/>
          <w:sz w:val="24"/>
        </w:rPr>
        <w:t>直接建模，快速概念设计，钣金快速设计及修复</w:t>
      </w:r>
    </w:p>
    <w:p>
      <w:pPr>
        <w:pStyle w:val="Normal"/>
        <w:tabs>
          <w:tab w:val="clear" w:pos="420"/>
          <w:tab w:val="left" w:pos="915" w:leader="none"/>
        </w:tabs>
        <w:spacing w:lineRule="exact" w:line="400"/>
        <w:rPr>
          <w:rFonts w:ascii="宋体" w:hAnsi="宋体"/>
          <w:sz w:val="24"/>
        </w:rPr>
      </w:pPr>
      <w:r>
        <w:rPr>
          <w:rFonts w:ascii="宋体" w:hAnsi="宋体"/>
          <w:sz w:val="24"/>
        </w:rPr>
        <w:t>通用有限元分析（</w:t>
      </w:r>
      <w:r>
        <w:rPr>
          <w:sz w:val="24"/>
          <w:lang w:bidi="ar-SA"/>
        </w:rPr>
        <w:t>FEA</w:t>
      </w:r>
      <w:r>
        <w:rPr>
          <w:rFonts w:ascii="宋体" w:hAnsi="宋体"/>
          <w:sz w:val="24"/>
        </w:rPr>
        <w:t>）软件：</w:t>
      </w:r>
      <w:r>
        <w:rPr>
          <w:sz w:val="24"/>
          <w:lang w:bidi="ar-SA"/>
        </w:rPr>
        <w:t>Ansys 2021 R1</w:t>
      </w:r>
      <w:r>
        <w:rPr>
          <w:rFonts w:ascii="宋体" w:hAnsi="宋体"/>
          <w:sz w:val="24"/>
        </w:rPr>
        <w:t>，综合性工程仿真，多物理场耦合分析</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2.2</w:t>
      </w:r>
      <w:r>
        <w:rPr>
          <w:rFonts w:ascii="黑体" w:hAnsi="黑体" w:eastAsia="黑体"/>
          <w:sz w:val="30"/>
          <w:szCs w:val="30"/>
        </w:rPr>
        <w:t>：影像资料选取</w:t>
      </w:r>
    </w:p>
    <w:p>
      <w:pPr>
        <w:pStyle w:val="Normal"/>
        <w:tabs>
          <w:tab w:val="clear" w:pos="420"/>
          <w:tab w:val="left" w:pos="915" w:leader="none"/>
        </w:tabs>
        <w:spacing w:lineRule="exact" w:line="400"/>
        <w:ind w:firstLine="535"/>
        <w:rPr>
          <w:rFonts w:ascii="宋体" w:hAnsi="宋体"/>
          <w:sz w:val="24"/>
        </w:rPr>
      </w:pPr>
      <w:r>
        <w:rPr>
          <w:rFonts w:ascii="宋体" w:hAnsi="宋体"/>
          <w:sz w:val="24"/>
        </w:rPr>
        <w:t>选取一名健康成年志愿者，无错颌畸形，使用锥形束计算机断层成像（</w:t>
      </w:r>
      <w:r>
        <w:rPr>
          <w:sz w:val="24"/>
          <w:lang w:bidi="ar-SA"/>
        </w:rPr>
        <w:t>CBCT</w:t>
      </w:r>
      <w:r>
        <w:rPr>
          <w:rFonts w:ascii="宋体" w:hAnsi="宋体"/>
          <w:sz w:val="24"/>
        </w:rPr>
        <w:t>）扫描志愿者的颌面部，收集患者</w:t>
      </w:r>
      <w:r>
        <w:rPr>
          <w:sz w:val="24"/>
          <w:lang w:bidi="ar-SA"/>
        </w:rPr>
        <w:t>.dicom</w:t>
      </w:r>
      <w:r>
        <w:rPr>
          <w:rFonts w:ascii="宋体" w:hAnsi="宋体"/>
          <w:sz w:val="24"/>
        </w:rPr>
        <w:t>格式的影像资料。本研究获得延边大学附属医院伦理委员会批准（伦理批准号：</w:t>
      </w:r>
      <w:r>
        <w:rPr>
          <w:sz w:val="24"/>
          <w:lang w:bidi="ar-SA"/>
        </w:rPr>
        <w:t>2024210</w:t>
      </w:r>
      <w:r>
        <w:rPr>
          <w:rFonts w:ascii="宋体" w:hAnsi="宋体"/>
          <w:sz w:val="24"/>
        </w:rPr>
        <w:t>），在拍摄</w:t>
      </w:r>
      <w:r>
        <w:rPr>
          <w:sz w:val="24"/>
          <w:lang w:bidi="ar-SA"/>
        </w:rPr>
        <w:t>CBCT</w:t>
      </w:r>
      <w:r>
        <w:rPr>
          <w:rFonts w:ascii="宋体" w:hAnsi="宋体"/>
          <w:sz w:val="24"/>
        </w:rPr>
        <w:t>前均已告知志愿者实验目的及实验内容，并签署知情同意书。</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2.2.1</w:t>
      </w:r>
      <w:r>
        <w:rPr>
          <w:rFonts w:ascii="黑体" w:hAnsi="黑体" w:eastAsia="黑体"/>
          <w:sz w:val="28"/>
          <w:szCs w:val="28"/>
        </w:rPr>
        <w:t>纳入标准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、无错颌畸形</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、未接受过正畸治疗</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、下颌磨牙区无金属修复体</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、患者知情同意并配合</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5</w:t>
      </w:r>
      <w:r>
        <w:rPr>
          <w:rFonts w:ascii="宋体" w:hAnsi="宋体" w:cs="mn-cs"/>
          <w:color w:val="000000"/>
          <w:kern w:val="2"/>
          <w:sz w:val="24"/>
        </w:rPr>
        <w:t>、下颌升支长度符合平均长度</w:t>
      </w:r>
    </w:p>
    <w:p>
      <w:pPr>
        <w:pStyle w:val="Normal"/>
        <w:tabs>
          <w:tab w:val="clear" w:pos="420"/>
          <w:tab w:val="left" w:pos="915" w:leader="none"/>
        </w:tabs>
        <w:spacing w:lineRule="exact" w:line="400"/>
        <w:rPr>
          <w:rFonts w:ascii="宋体" w:hAnsi="宋体" w:cs="mn-cs"/>
          <w:color w:val="000000"/>
          <w:kern w:val="2"/>
          <w:sz w:val="24"/>
        </w:rPr>
      </w:pPr>
      <w:r>
        <w:rPr>
          <w:rFonts w:eastAsia="黑体" w:ascii="黑体" w:hAnsi="黑体"/>
          <w:sz w:val="28"/>
          <w:szCs w:val="28"/>
        </w:rPr>
        <w:t>2.2.2</w:t>
      </w:r>
      <w:r>
        <w:rPr>
          <w:rFonts w:ascii="黑体" w:hAnsi="黑体" w:eastAsia="黑体"/>
          <w:sz w:val="28"/>
          <w:szCs w:val="28"/>
        </w:rPr>
        <w:t>排除标准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、存在牙体缺损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、存在牙列缺损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、有颞下颌关节疾病病史</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、有牙周病病史</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 xml:space="preserve">2.3 </w:t>
      </w:r>
      <w:r>
        <w:rPr>
          <w:rFonts w:ascii="黑体" w:hAnsi="黑体" w:eastAsia="黑体"/>
          <w:sz w:val="30"/>
          <w:szCs w:val="30"/>
        </w:rPr>
        <w:t>下颌骨及牙列的三维重建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2.3.1.</w:t>
      </w:r>
      <w:r>
        <w:rPr>
          <w:rFonts w:ascii="黑体" w:hAnsi="黑体" w:eastAsia="黑体"/>
          <w:sz w:val="28"/>
          <w:szCs w:val="28"/>
        </w:rPr>
        <w:t>下颌骨模型的三维重建</w:t>
      </w:r>
    </w:p>
    <w:p>
      <w:pPr>
        <w:pStyle w:val="Normal"/>
        <w:tabs>
          <w:tab w:val="clear" w:pos="420"/>
          <w:tab w:val="left" w:pos="915" w:leader="none"/>
        </w:tabs>
        <w:spacing w:lineRule="exact" w:line="400"/>
        <w:ind w:firstLine="535"/>
        <w:rPr>
          <w:rFonts w:ascii="宋体" w:hAnsi="宋体"/>
          <w:sz w:val="24"/>
        </w:rPr>
      </w:pPr>
      <w:r>
        <w:rPr>
          <w:rFonts w:ascii="宋体" w:hAnsi="宋体"/>
          <w:sz w:val="24"/>
        </w:rPr>
        <w:t>将拍摄完成的</w:t>
      </w:r>
      <w:r>
        <w:rPr>
          <w:sz w:val="24"/>
          <w:lang w:bidi="ar-SA"/>
        </w:rPr>
        <w:t>.dicom</w:t>
      </w:r>
      <w:r>
        <w:rPr>
          <w:rFonts w:ascii="宋体" w:hAnsi="宋体"/>
          <w:sz w:val="24"/>
        </w:rPr>
        <w:t>格式</w:t>
      </w:r>
      <w:r>
        <w:rPr>
          <w:sz w:val="24"/>
          <w:lang w:bidi="ar-SA"/>
        </w:rPr>
        <w:t>CBCT</w:t>
      </w:r>
      <w:r>
        <w:rPr>
          <w:rFonts w:ascii="宋体" w:hAnsi="宋体"/>
          <w:sz w:val="24"/>
        </w:rPr>
        <w:t>影像资料导入到</w:t>
      </w:r>
      <w:r>
        <w:rPr>
          <w:sz w:val="24"/>
          <w:lang w:bidi="ar-SA"/>
        </w:rPr>
        <w:t>Mimics26.0</w:t>
      </w:r>
      <w:r>
        <w:rPr>
          <w:rFonts w:ascii="宋体" w:hAnsi="宋体"/>
          <w:sz w:val="24"/>
        </w:rPr>
        <w:t>（</w:t>
      </w:r>
      <w:r>
        <w:rPr>
          <w:sz w:val="24"/>
          <w:lang w:bidi="ar-SA"/>
        </w:rPr>
        <w:t>Materialise</w:t>
      </w:r>
      <w:r>
        <w:rPr>
          <w:rFonts w:ascii="宋体" w:hAnsi="宋体"/>
          <w:sz w:val="24"/>
        </w:rPr>
        <w:t>，比利时）软件中，对模型进行初步的三维重建，在“</w:t>
      </w:r>
      <w:r>
        <w:rPr>
          <w:sz w:val="24"/>
          <w:lang w:bidi="ar-SA"/>
        </w:rPr>
        <w:t>SEGMENT</w:t>
      </w:r>
      <w:r>
        <w:rPr>
          <w:rFonts w:ascii="宋体" w:hAnsi="宋体"/>
          <w:sz w:val="24"/>
        </w:rPr>
        <w:t>”</w:t>
      </w:r>
      <w:r>
        <w:rPr>
          <w:rFonts w:ascii="宋体" w:hAnsi="宋体"/>
          <w:sz w:val="24"/>
        </w:rPr>
        <w:t>模块中使用“</w:t>
      </w:r>
      <w:r>
        <w:rPr>
          <w:sz w:val="24"/>
          <w:lang w:bidi="ar-SA"/>
        </w:rPr>
        <w:t>New Mask</w:t>
      </w:r>
      <w:r>
        <w:rPr>
          <w:rFonts w:ascii="宋体" w:hAnsi="宋体"/>
          <w:sz w:val="24"/>
        </w:rPr>
        <w:t>”</w:t>
      </w:r>
      <w:r>
        <w:rPr>
          <w:rFonts w:ascii="宋体" w:hAnsi="宋体"/>
          <w:sz w:val="24"/>
        </w:rPr>
        <w:t>命令创建一个新的蒙版（图</w:t>
      </w:r>
      <w:r>
        <w:rPr>
          <w:sz w:val="24"/>
          <w:lang w:bidi="ar-SA"/>
        </w:rPr>
        <w:t>1</w:t>
      </w:r>
      <w:r>
        <w:rPr>
          <w:rFonts w:ascii="宋体" w:hAnsi="宋体"/>
          <w:sz w:val="24"/>
        </w:rPr>
        <w:t>），将二维的影像资料转化为三维模型，使用“</w:t>
      </w:r>
      <w:r>
        <w:rPr>
          <w:sz w:val="24"/>
          <w:lang w:bidi="ar-SA"/>
        </w:rPr>
        <w:t>Split Mask</w:t>
      </w:r>
      <w:r>
        <w:rPr>
          <w:rFonts w:ascii="宋体" w:hAnsi="宋体"/>
          <w:sz w:val="24"/>
        </w:rPr>
        <w:t>”</w:t>
      </w:r>
      <w:r>
        <w:rPr>
          <w:rFonts w:ascii="宋体" w:hAnsi="宋体"/>
          <w:sz w:val="24"/>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sz w:val="24"/>
          <w:lang w:bidi="ar-SA"/>
        </w:rPr>
        <w:t>CBCT</w:t>
      </w:r>
      <w:r>
        <w:rPr>
          <w:rFonts w:ascii="宋体" w:hAnsi="宋体"/>
          <w:sz w:val="24"/>
        </w:rPr>
        <w:t>拼接而成的，无法进入到其他工学软件中做进一部处理，故分别对无牙冠下颌骨及分离后的牙冠转化为壳体，执行“</w:t>
      </w:r>
      <w:r>
        <w:rPr>
          <w:sz w:val="24"/>
          <w:lang w:bidi="ar-SA"/>
        </w:rPr>
        <w:t>Calculate Part</w:t>
      </w:r>
      <w:r>
        <w:rPr>
          <w:rFonts w:ascii="宋体" w:hAnsi="宋体"/>
          <w:sz w:val="24"/>
        </w:rPr>
        <w:t>”</w:t>
      </w:r>
      <w:r>
        <w:rPr>
          <w:rFonts w:ascii="宋体" w:hAnsi="宋体"/>
          <w:sz w:val="24"/>
        </w:rPr>
        <w:t>命令，将两部分模型转化为</w:t>
      </w:r>
      <w:r>
        <w:rPr>
          <w:sz w:val="24"/>
          <w:lang w:bidi="ar-SA"/>
        </w:rPr>
        <w:t>.stl</w:t>
      </w:r>
      <w:r>
        <w:rPr>
          <w:rFonts w:ascii="宋体" w:hAnsi="宋体"/>
          <w:sz w:val="24"/>
        </w:rPr>
        <w:t>格式文件并存档（图</w:t>
      </w:r>
      <w:r>
        <w:rPr>
          <w:sz w:val="24"/>
          <w:lang w:bidi="ar-SA"/>
        </w:rPr>
        <w:t>2</w:t>
      </w:r>
      <w:r>
        <w:rPr>
          <w:rFonts w:ascii="宋体" w:hAnsi="宋体"/>
          <w:sz w:val="24"/>
        </w:rPr>
        <w:t>），</w:t>
      </w:r>
      <w:r>
        <w:rPr>
          <w:sz w:val="24"/>
          <w:lang w:bidi="ar-SA"/>
        </w:rPr>
        <w:t>.stl</w:t>
      </w:r>
      <w:r>
        <w:rPr>
          <w:rFonts w:ascii="宋体" w:hAnsi="宋体"/>
          <w:sz w:val="24"/>
        </w:rPr>
        <w:t>是三维模型的标准格式，可以在各个软件中通用，以便于后续操作。</w:t>
      </w:r>
    </w:p>
    <w:p>
      <w:pPr>
        <w:pStyle w:val="Normal"/>
        <w:tabs>
          <w:tab w:val="clear" w:pos="420"/>
          <w:tab w:val="left" w:pos="915" w:leader="none"/>
        </w:tabs>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49">
            <wp:simplePos x="0" y="0"/>
            <wp:positionH relativeFrom="column">
              <wp:posOffset>0</wp:posOffset>
            </wp:positionH>
            <wp:positionV relativeFrom="paragraph">
              <wp:posOffset>255270</wp:posOffset>
            </wp:positionV>
            <wp:extent cx="5943600" cy="3126105"/>
            <wp:effectExtent l="0" t="0" r="0" b="0"/>
            <wp:wrapSquare wrapText="largest"/>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29"/>
                    <a:stretch>
                      <a:fillRect/>
                    </a:stretch>
                  </pic:blipFill>
                  <pic:spPr bwMode="auto">
                    <a:xfrm>
                      <a:off x="0" y="0"/>
                      <a:ext cx="5943600" cy="3126105"/>
                    </a:xfrm>
                    <a:prstGeom prst="rect">
                      <a:avLst/>
                    </a:prstGeom>
                    <a:noFill/>
                  </pic:spPr>
                </pic:pic>
              </a:graphicData>
            </a:graphic>
          </wp:anchor>
        </w:drawing>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 xml:space="preserve">1 </w:t>
      </w:r>
      <w:r>
        <w:rPr>
          <w:rFonts w:ascii="宋体" w:hAnsi="宋体"/>
          <w:sz w:val="24"/>
          <w:lang w:bidi="ar-SA"/>
        </w:rPr>
        <w:t>建立蒙版</w:t>
      </w:r>
    </w:p>
    <w:p>
      <w:pPr>
        <w:pStyle w:val="Normal"/>
        <w:tabs>
          <w:tab w:val="clear" w:pos="420"/>
          <w:tab w:val="left" w:pos="915" w:leader="none"/>
        </w:tabs>
        <w:spacing w:lineRule="exact" w:line="400"/>
        <w:rPr/>
      </w:pPr>
      <w:r>
        <w:rPr/>
        <w:drawing>
          <wp:anchor behindDoc="0" distT="0" distB="0" distL="0" distR="0" simplePos="0" locked="0" layoutInCell="0" allowOverlap="1" relativeHeight="50">
            <wp:simplePos x="0" y="0"/>
            <wp:positionH relativeFrom="margin">
              <wp:align>left</wp:align>
            </wp:positionH>
            <wp:positionV relativeFrom="paragraph">
              <wp:posOffset>224790</wp:posOffset>
            </wp:positionV>
            <wp:extent cx="5862955" cy="1755140"/>
            <wp:effectExtent l="0" t="0" r="0" b="0"/>
            <wp:wrapNone/>
            <wp:docPr id="2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3" descr=""/>
                    <pic:cNvPicPr>
                      <a:picLocks noChangeAspect="1" noChangeArrowheads="1"/>
                    </pic:cNvPicPr>
                  </pic:nvPicPr>
                  <pic:blipFill>
                    <a:blip r:embed="rId30"/>
                    <a:stretch>
                      <a:fillRect/>
                    </a:stretch>
                  </pic:blipFill>
                  <pic:spPr bwMode="auto">
                    <a:xfrm>
                      <a:off x="0" y="0"/>
                      <a:ext cx="5862955" cy="1755140"/>
                    </a:xfrm>
                    <a:prstGeom prst="rect">
                      <a:avLst/>
                    </a:prstGeom>
                    <a:noFill/>
                  </pic:spPr>
                </pic:pic>
              </a:graphicData>
            </a:graphic>
          </wp:anchor>
        </w:drawing>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r>
    </w:p>
    <w:p>
      <w:pPr>
        <w:pStyle w:val="Normal"/>
        <w:tabs>
          <w:tab w:val="clear" w:pos="420"/>
          <w:tab w:val="left" w:pos="915" w:leader="none"/>
        </w:tabs>
        <w:spacing w:lineRule="exact" w:line="400"/>
        <w:jc w:val="center"/>
        <w:rPr>
          <w:rFonts w:ascii="宋体" w:hAnsi="宋体"/>
          <w:sz w:val="24"/>
          <w:lang w:bidi="ar-SA"/>
        </w:rPr>
      </w:pPr>
      <w:r>
        <w:rPr>
          <w:sz w:val="24"/>
          <w:lang w:bidi="ar-SA"/>
        </w:rPr>
        <w:t>A</w:t>
      </w:r>
      <w:r>
        <w:rPr>
          <w:rFonts w:ascii="宋体" w:hAnsi="宋体"/>
          <w:sz w:val="24"/>
          <w:lang w:bidi="ar-SA"/>
        </w:rPr>
        <w:t xml:space="preserve">：无牙齿下颌骨 </w:t>
      </w:r>
      <w:r>
        <w:rPr>
          <w:sz w:val="24"/>
          <w:lang w:bidi="ar-SA"/>
        </w:rPr>
        <w:t>B</w:t>
      </w:r>
      <w:r>
        <w:rPr>
          <w:rFonts w:ascii="宋体" w:hAnsi="宋体"/>
          <w:sz w:val="24"/>
          <w:lang w:bidi="ar-SA"/>
        </w:rPr>
        <w:t>：全牙列牙冠</w:t>
      </w:r>
    </w:p>
    <w:p>
      <w:pPr>
        <w:pStyle w:val="Normal"/>
        <w:tabs>
          <w:tab w:val="clear" w:pos="420"/>
          <w:tab w:val="left" w:pos="915" w:leader="none"/>
        </w:tabs>
        <w:spacing w:lineRule="exact" w:line="400"/>
        <w:jc w:val="center"/>
        <w:rPr>
          <w:rFonts w:ascii="宋体" w:hAnsi="宋体"/>
          <w:sz w:val="24"/>
        </w:rPr>
      </w:pPr>
      <w:r>
        <w:rPr>
          <w:rFonts w:ascii="宋体" w:hAnsi="宋体"/>
          <w:sz w:val="24"/>
          <w:lang w:bidi="ar-SA"/>
        </w:rPr>
        <w:t>图</w:t>
      </w:r>
      <w:r>
        <w:rPr>
          <w:sz w:val="24"/>
          <w:lang w:bidi="ar-SA"/>
        </w:rPr>
        <w:t xml:space="preserve">2 </w:t>
      </w:r>
      <w:r>
        <w:rPr>
          <w:rFonts w:ascii="宋体" w:hAnsi="宋体"/>
          <w:sz w:val="24"/>
          <w:lang w:bidi="ar-SA"/>
        </w:rPr>
        <w:t>下颌骨的三维重建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2.3.2.</w:t>
      </w:r>
      <w:r>
        <w:rPr>
          <w:rFonts w:ascii="黑体" w:hAnsi="黑体" w:eastAsia="黑体"/>
          <w:sz w:val="28"/>
          <w:szCs w:val="28"/>
        </w:rPr>
        <w:t>下颌牙列模型的三维重建</w:t>
      </w:r>
    </w:p>
    <w:p>
      <w:pPr>
        <w:pStyle w:val="Normal"/>
        <w:widowControl/>
        <w:spacing w:lineRule="exact" w:line="400"/>
        <w:ind w:firstLine="535"/>
        <w:rPr>
          <w:rFonts w:ascii="宋体" w:hAnsi="宋体"/>
          <w:sz w:val="24"/>
        </w:rPr>
      </w:pPr>
      <w:r>
        <w:rPr>
          <w:rFonts w:ascii="宋体" w:hAnsi="宋体"/>
          <w:sz w:val="24"/>
        </w:rPr>
        <w:t>使用</w:t>
      </w:r>
      <w:r>
        <w:rPr>
          <w:sz w:val="24"/>
          <w:lang w:bidi="ar-SA"/>
        </w:rPr>
        <w:t>BlueSkyBioPlan4.1.1</w:t>
      </w:r>
      <w:r>
        <w:rPr>
          <w:rFonts w:ascii="宋体" w:hAnsi="宋体"/>
          <w:sz w:val="24"/>
        </w:rPr>
        <w:t>(</w:t>
      </w:r>
      <w:r>
        <w:rPr>
          <w:sz w:val="24"/>
          <w:lang w:bidi="ar-SA"/>
        </w:rPr>
        <w:t>Blue Sky Bio,USA</w:t>
      </w:r>
      <w:r>
        <w:rPr>
          <w:rFonts w:ascii="宋体" w:hAnsi="宋体"/>
          <w:sz w:val="24"/>
        </w:rPr>
        <w:t>)</w:t>
      </w:r>
      <w:r>
        <w:rPr>
          <w:rFonts w:ascii="宋体" w:hAnsi="宋体"/>
          <w:sz w:val="24"/>
        </w:rPr>
        <w:t>软件中的“</w:t>
      </w:r>
      <w:r>
        <w:rPr>
          <w:sz w:val="24"/>
          <w:lang w:bidi="ar-SA"/>
        </w:rPr>
        <w:t>Model Master</w:t>
      </w:r>
      <w:r>
        <w:rPr>
          <w:rFonts w:ascii="宋体" w:hAnsi="宋体"/>
          <w:sz w:val="24"/>
        </w:rPr>
        <w:t>”</w:t>
      </w:r>
      <w:r>
        <w:rPr>
          <w:rFonts w:ascii="宋体" w:hAnsi="宋体"/>
          <w:sz w:val="24"/>
        </w:rPr>
        <w:t>功能导入</w:t>
      </w:r>
      <w:r>
        <w:rPr>
          <w:sz w:val="24"/>
          <w:lang w:bidi="ar-SA"/>
        </w:rPr>
        <w:t>.dicom</w:t>
      </w:r>
      <w:r>
        <w:rPr>
          <w:rFonts w:ascii="宋体" w:hAnsi="宋体"/>
          <w:sz w:val="24"/>
        </w:rPr>
        <w:t>格式的影像资料（图），选择“</w:t>
      </w:r>
      <w:r>
        <w:rPr>
          <w:sz w:val="24"/>
          <w:lang w:bidi="ar-SA"/>
        </w:rPr>
        <w:t>Segmentation</w:t>
      </w:r>
      <w:r>
        <w:rPr>
          <w:rFonts w:ascii="宋体" w:hAnsi="宋体"/>
          <w:sz w:val="24"/>
        </w:rPr>
        <w:t>”</w:t>
      </w:r>
      <w:r>
        <w:rPr>
          <w:rFonts w:ascii="宋体" w:hAnsi="宋体"/>
          <w:sz w:val="24"/>
        </w:rPr>
        <w:t>模块中的“</w:t>
      </w:r>
      <w:r>
        <w:rPr>
          <w:sz w:val="24"/>
          <w:lang w:bidi="ar-SA"/>
        </w:rPr>
        <w:t>Automatic Tooth Segmentation</w:t>
      </w:r>
      <w:r>
        <w:rPr>
          <w:rFonts w:ascii="宋体" w:hAnsi="宋体"/>
          <w:sz w:val="24"/>
        </w:rPr>
        <w:t>”</w:t>
      </w:r>
      <w:r>
        <w:rPr>
          <w:rFonts w:ascii="宋体" w:hAnsi="宋体"/>
          <w:sz w:val="24"/>
        </w:rPr>
        <w:t>功能，执行“</w:t>
      </w:r>
      <w:r>
        <w:rPr>
          <w:sz w:val="24"/>
          <w:lang w:bidi="ar-SA"/>
        </w:rPr>
        <w:t>Select Tooth</w:t>
      </w:r>
      <w:r>
        <w:rPr>
          <w:rFonts w:ascii="宋体" w:hAnsi="宋体"/>
          <w:sz w:val="24"/>
        </w:rPr>
        <w:t>”</w:t>
      </w:r>
      <w:r>
        <w:rPr>
          <w:rFonts w:ascii="宋体" w:hAnsi="宋体"/>
          <w:sz w:val="24"/>
        </w:rPr>
        <w:t>命令自动选中牙列分割全牙列牙齿。最后将完整牙齿模型以</w:t>
      </w:r>
      <w:r>
        <w:rPr>
          <w:sz w:val="24"/>
          <w:lang w:bidi="ar-SA"/>
        </w:rPr>
        <w:t>.stl</w:t>
      </w:r>
      <w:r>
        <w:rPr>
          <w:rFonts w:ascii="宋体" w:hAnsi="宋体"/>
          <w:sz w:val="24"/>
        </w:rPr>
        <w:t>格式导出，若使用</w:t>
      </w:r>
      <w:r>
        <w:rPr>
          <w:sz w:val="24"/>
          <w:lang w:bidi="ar-SA"/>
        </w:rPr>
        <w:t>Mimics</w:t>
      </w:r>
      <w:r>
        <w:rPr>
          <w:rFonts w:ascii="宋体" w:hAnsi="宋体"/>
          <w:sz w:val="24"/>
        </w:rPr>
        <w:t>分离牙齿，由于分辨率及多种原因，会导致牙根结构不清晰，分离不完整，只能通过后续处理，如分割，光滑操作，影响建模效率的同时，还无法还原真实的解剖结构。而使用</w:t>
      </w:r>
      <w:r>
        <w:rPr>
          <w:sz w:val="24"/>
          <w:lang w:bidi="ar-SA"/>
        </w:rPr>
        <w:t>BlueSkyBioPlan</w:t>
      </w:r>
      <w:r>
        <w:rPr>
          <w:rFonts w:ascii="宋体" w:hAnsi="宋体"/>
          <w:sz w:val="24"/>
        </w:rPr>
        <w:t>可以快速准确的分割牙齿，模型的光滑程度优于前者，并且无需过多后处理（图</w:t>
      </w:r>
      <w:r>
        <w:rPr>
          <w:sz w:val="24"/>
          <w:lang w:bidi="ar-SA"/>
        </w:rPr>
        <w:t>3</w:t>
      </w:r>
      <w:r>
        <w:rPr>
          <w:rFonts w:ascii="宋体" w:hAnsi="宋体"/>
          <w:sz w:val="24"/>
        </w:rPr>
        <w:t>），可直接转化为</w:t>
      </w:r>
      <w:r>
        <w:rPr>
          <w:sz w:val="24"/>
          <w:lang w:bidi="ar-SA"/>
        </w:rPr>
        <w:t>.stl</w:t>
      </w:r>
      <w:r>
        <w:rPr>
          <w:rFonts w:ascii="宋体" w:hAnsi="宋体"/>
          <w:sz w:val="24"/>
        </w:rPr>
        <w:t>格式并输出至下一步骤使用。</w:t>
      </w:r>
    </w:p>
    <w:p>
      <w:pPr>
        <w:pStyle w:val="Normal"/>
        <w:widowControl/>
        <w:spacing w:lineRule="exact" w:line="400"/>
        <w:ind w:firstLine="475"/>
        <w:rPr>
          <w:rFonts w:ascii="宋体" w:hAnsi="宋体"/>
          <w:sz w:val="24"/>
        </w:rPr>
      </w:pPr>
      <w:r>
        <w:rPr>
          <w:rFonts w:ascii="宋体" w:hAnsi="宋体"/>
          <w:sz w:val="24"/>
        </w:rPr>
        <w:drawing>
          <wp:anchor behindDoc="0" distT="0" distB="0" distL="0" distR="114300" simplePos="0" locked="0" layoutInCell="0" allowOverlap="1" relativeHeight="51">
            <wp:simplePos x="0" y="0"/>
            <wp:positionH relativeFrom="margin">
              <wp:align>left</wp:align>
            </wp:positionH>
            <wp:positionV relativeFrom="page">
              <wp:posOffset>1676400</wp:posOffset>
            </wp:positionV>
            <wp:extent cx="5948045" cy="4246880"/>
            <wp:effectExtent l="0" t="0" r="0" b="0"/>
            <wp:wrapSquare wrapText="bothSides"/>
            <wp:docPr id="2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
                    <pic:cNvPicPr>
                      <a:picLocks noChangeAspect="1" noChangeArrowheads="1"/>
                    </pic:cNvPicPr>
                  </pic:nvPicPr>
                  <pic:blipFill>
                    <a:blip r:embed="rId31"/>
                    <a:stretch>
                      <a:fillRect/>
                    </a:stretch>
                  </pic:blipFill>
                  <pic:spPr bwMode="auto">
                    <a:xfrm>
                      <a:off x="0" y="0"/>
                      <a:ext cx="5948045" cy="4246880"/>
                    </a:xfrm>
                    <a:prstGeom prst="rect">
                      <a:avLst/>
                    </a:prstGeom>
                    <a:noFill/>
                  </pic:spPr>
                </pic:pic>
              </a:graphicData>
            </a:graphic>
          </wp:anchor>
        </w:drawing>
      </w:r>
    </w:p>
    <w:p>
      <w:pPr>
        <w:pStyle w:val="Normal"/>
        <w:widowControl/>
        <w:spacing w:lineRule="exact" w:line="400"/>
        <w:rPr>
          <w:rFonts w:ascii="宋体" w:hAnsi="宋体"/>
          <w:sz w:val="24"/>
        </w:rPr>
      </w:pPr>
      <w:r>
        <w:rPr>
          <w:rFonts w:ascii="宋体" w:hAnsi="宋体"/>
          <w:sz w:val="24"/>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3</w:t>
      </w:r>
      <w:r>
        <w:rPr>
          <w:rFonts w:ascii="宋体" w:hAnsi="宋体"/>
          <w:sz w:val="24"/>
          <w:lang w:bidi="ar-SA"/>
        </w:rPr>
        <w:t xml:space="preserve"> </w:t>
      </w:r>
      <w:r>
        <w:rPr>
          <w:rFonts w:ascii="宋体" w:hAnsi="宋体"/>
          <w:sz w:val="24"/>
          <w:lang w:bidi="ar-SA"/>
        </w:rPr>
        <w:t>自动分割出的下颌牙列</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2.3.3.</w:t>
      </w:r>
      <w:r>
        <w:rPr>
          <w:rFonts w:ascii="黑体" w:hAnsi="黑体" w:eastAsia="黑体"/>
          <w:sz w:val="28"/>
          <w:szCs w:val="28"/>
        </w:rPr>
        <w:t>牙齿与下颌骨的配准</w:t>
      </w:r>
    </w:p>
    <w:p>
      <w:pPr>
        <w:pStyle w:val="Normal"/>
        <w:widowControl/>
        <w:spacing w:lineRule="exact" w:line="400"/>
        <w:ind w:firstLine="535"/>
        <w:rPr>
          <w:rFonts w:ascii="宋体" w:hAnsi="宋体"/>
          <w:sz w:val="24"/>
        </w:rPr>
      </w:pPr>
      <w:r>
        <w:rPr>
          <w:rFonts w:ascii="宋体" w:hAnsi="宋体"/>
          <w:sz w:val="24"/>
        </w:rPr>
        <w:t>将上述完成初步建模的下颌骨模型，下颌牙列牙冠模型，完整下颌牙列模型一起导入到</w:t>
      </w:r>
      <w:r>
        <w:rPr>
          <w:sz w:val="24"/>
          <w:lang w:bidi="ar-SA"/>
        </w:rPr>
        <w:t>3-Matic18.0</w:t>
      </w:r>
      <w:r>
        <w:rPr>
          <w:rFonts w:ascii="宋体" w:hAnsi="宋体"/>
          <w:sz w:val="24"/>
        </w:rPr>
        <w:t>（</w:t>
      </w:r>
      <w:r>
        <w:rPr>
          <w:sz w:val="24"/>
          <w:lang w:bidi="ar-SA"/>
        </w:rPr>
        <w:t>Materialise</w:t>
      </w:r>
      <w:r>
        <w:rPr>
          <w:rFonts w:ascii="宋体" w:hAnsi="宋体"/>
          <w:sz w:val="24"/>
        </w:rPr>
        <w:t>，比利时）软件中（图），由于使用了不同软件，其原始坐标不相同，导致牙列并不位于下颌骨之上，使用“</w:t>
      </w:r>
      <w:r>
        <w:rPr>
          <w:sz w:val="24"/>
          <w:lang w:bidi="ar-SA"/>
        </w:rPr>
        <w:t>Align</w:t>
      </w:r>
      <w:r>
        <w:rPr>
          <w:rFonts w:ascii="宋体" w:hAnsi="宋体"/>
          <w:sz w:val="24"/>
        </w:rPr>
        <w:t>”</w:t>
      </w:r>
      <w:r>
        <w:rPr>
          <w:rFonts w:ascii="宋体" w:hAnsi="宋体"/>
          <w:sz w:val="24"/>
        </w:rPr>
        <w:t>模块中的“</w:t>
      </w:r>
      <w:r>
        <w:rPr>
          <w:sz w:val="24"/>
          <w:lang w:bidi="ar-SA"/>
        </w:rPr>
        <w:t>N points Registration</w:t>
      </w:r>
      <w:r>
        <w:rPr>
          <w:rFonts w:ascii="宋体" w:hAnsi="宋体"/>
          <w:sz w:val="24"/>
        </w:rPr>
        <w:t>”</w:t>
      </w:r>
      <w:r>
        <w:rPr>
          <w:rFonts w:ascii="宋体" w:hAnsi="宋体"/>
          <w:sz w:val="24"/>
        </w:rPr>
        <w:t>以牙冠的牙尖及轴面最高点为配准点，将完整下牙列模型与下颌骨进行配准，使牙列位于正确的解剖位置。（图</w:t>
      </w:r>
      <w:r>
        <w:rPr>
          <w:sz w:val="24"/>
          <w:lang w:bidi="ar-SA"/>
        </w:rPr>
        <w:t>4</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rPr>
          <w:rFonts w:ascii="宋体" w:hAnsi="宋体"/>
          <w:sz w:val="24"/>
        </w:rPr>
      </w:pPr>
      <w:r>
        <w:rPr>
          <w:rFonts w:ascii="宋体" w:hAnsi="宋体"/>
          <w:sz w:val="24"/>
        </w:rPr>
        <w:drawing>
          <wp:anchor behindDoc="0" distT="0" distB="0" distL="114300" distR="114300" simplePos="0" locked="0" layoutInCell="0" allowOverlap="1" relativeHeight="52">
            <wp:simplePos x="0" y="0"/>
            <wp:positionH relativeFrom="column">
              <wp:posOffset>302260</wp:posOffset>
            </wp:positionH>
            <wp:positionV relativeFrom="paragraph">
              <wp:posOffset>-254000</wp:posOffset>
            </wp:positionV>
            <wp:extent cx="5268595" cy="4377690"/>
            <wp:effectExtent l="0" t="0" r="0" b="0"/>
            <wp:wrapSquare wrapText="bothSides"/>
            <wp:docPr id="2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
                    <pic:cNvPicPr>
                      <a:picLocks noChangeAspect="1" noChangeArrowheads="1"/>
                    </pic:cNvPicPr>
                  </pic:nvPicPr>
                  <pic:blipFill>
                    <a:blip r:embed="rId32"/>
                    <a:stretch>
                      <a:fillRect/>
                    </a:stretch>
                  </pic:blipFill>
                  <pic:spPr bwMode="auto">
                    <a:xfrm>
                      <a:off x="0" y="0"/>
                      <a:ext cx="5268595" cy="4377690"/>
                    </a:xfrm>
                    <a:prstGeom prst="rect">
                      <a:avLst/>
                    </a:prstGeom>
                    <a:noFill/>
                  </pic:spPr>
                </pic:pic>
              </a:graphicData>
            </a:graphic>
          </wp:anchor>
        </w:drawing>
      </w:r>
    </w:p>
    <w:p>
      <w:pPr>
        <w:pStyle w:val="Normal"/>
        <w:widowControl/>
        <w:spacing w:lineRule="exact" w:line="400"/>
        <w:ind w:firstLine="535"/>
        <w:jc w:val="center"/>
        <w:rPr>
          <w:rFonts w:ascii="宋体" w:hAnsi="宋体"/>
          <w:sz w:val="24"/>
          <w:lang w:bidi="ar-SA"/>
        </w:rPr>
      </w:pPr>
      <w:r>
        <w:rPr>
          <w:rFonts w:ascii="宋体" w:hAnsi="宋体"/>
          <w:sz w:val="24"/>
          <w:lang w:bidi="ar-SA"/>
        </w:rPr>
        <w:t>图</w:t>
      </w:r>
      <w:r>
        <w:rPr>
          <w:sz w:val="24"/>
          <w:lang w:bidi="ar-SA"/>
        </w:rPr>
        <w:t>4</w:t>
      </w:r>
      <w:r>
        <w:rPr>
          <w:rFonts w:ascii="宋体" w:hAnsi="宋体"/>
          <w:sz w:val="24"/>
          <w:lang w:bidi="ar-SA"/>
        </w:rPr>
        <w:t xml:space="preserve"> </w:t>
      </w:r>
      <w:r>
        <w:rPr>
          <w:rFonts w:ascii="宋体" w:hAnsi="宋体"/>
          <w:sz w:val="24"/>
          <w:lang w:bidi="ar-SA"/>
        </w:rPr>
        <w:t>下颌牙列配准</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 xml:space="preserve">2.3.4 </w:t>
      </w:r>
      <w:r>
        <w:rPr>
          <w:rFonts w:ascii="黑体" w:hAnsi="黑体" w:eastAsia="黑体"/>
          <w:sz w:val="28"/>
          <w:szCs w:val="28"/>
        </w:rPr>
        <w:t>模型优化处理</w:t>
      </w:r>
    </w:p>
    <w:p>
      <w:pPr>
        <w:pStyle w:val="Normal"/>
        <w:widowControl/>
        <w:spacing w:lineRule="exact" w:line="400"/>
        <w:ind w:firstLine="535"/>
        <w:rPr>
          <w:rFonts w:ascii="宋体" w:hAnsi="宋体"/>
          <w:sz w:val="24"/>
        </w:rPr>
      </w:pPr>
      <w:r>
        <w:rPr>
          <w:rFonts w:ascii="宋体" w:hAnsi="宋体"/>
          <w:sz w:val="24"/>
        </w:rPr>
        <w:t>在</w:t>
      </w:r>
      <w:r>
        <w:rPr>
          <w:sz w:val="24"/>
          <w:lang w:bidi="ar-SA"/>
        </w:rPr>
        <w:t>3-Matic</w:t>
      </w:r>
      <w:r>
        <w:rPr>
          <w:rFonts w:ascii="宋体" w:hAnsi="宋体"/>
          <w:sz w:val="24"/>
        </w:rPr>
        <w:t>中检查模型质量，在三维重建的过程中可能会出现重叠面及缺失面等问题，使用“</w:t>
      </w:r>
      <w:r>
        <w:rPr>
          <w:sz w:val="24"/>
          <w:lang w:bidi="ar-SA"/>
        </w:rPr>
        <w:t>Fix</w:t>
      </w:r>
      <w:r>
        <w:rPr>
          <w:rFonts w:ascii="宋体" w:hAnsi="宋体"/>
          <w:sz w:val="24"/>
        </w:rPr>
        <w:t>”</w:t>
      </w:r>
      <w:r>
        <w:rPr>
          <w:rFonts w:ascii="宋体" w:hAnsi="宋体"/>
          <w:sz w:val="24"/>
        </w:rPr>
        <w:t>模块中的“</w:t>
      </w:r>
      <w:r>
        <w:rPr>
          <w:sz w:val="24"/>
          <w:lang w:bidi="ar-SA"/>
        </w:rPr>
        <w:t>Fix Wizard</w:t>
      </w:r>
      <w:r>
        <w:rPr>
          <w:rFonts w:ascii="宋体" w:hAnsi="宋体"/>
          <w:sz w:val="24"/>
        </w:rPr>
        <w:t>”</w:t>
      </w:r>
      <w:r>
        <w:rPr>
          <w:rFonts w:ascii="宋体" w:hAnsi="宋体"/>
          <w:sz w:val="24"/>
        </w:rPr>
        <w:t>功能可自动检查模型是否存在问题（图），如果存在上述问题，在建模将无法完成，执行“</w:t>
      </w:r>
      <w:r>
        <w:rPr>
          <w:sz w:val="24"/>
          <w:lang w:bidi="ar-SA"/>
        </w:rPr>
        <w:t>Follow advicd</w:t>
      </w:r>
      <w:r>
        <w:rPr>
          <w:rFonts w:ascii="宋体" w:hAnsi="宋体"/>
          <w:sz w:val="24"/>
        </w:rPr>
        <w:t>”</w:t>
      </w:r>
      <w:r>
        <w:rPr>
          <w:rFonts w:ascii="宋体" w:hAnsi="宋体"/>
          <w:sz w:val="24"/>
        </w:rPr>
        <w:t>可自动对模型进行修复。同时可使用“</w:t>
      </w:r>
      <w:r>
        <w:rPr>
          <w:sz w:val="24"/>
          <w:lang w:bidi="ar-SA"/>
        </w:rPr>
        <w:t>Remesh</w:t>
      </w:r>
      <w:r>
        <w:rPr>
          <w:rFonts w:ascii="宋体" w:hAnsi="宋体"/>
          <w:sz w:val="24"/>
        </w:rPr>
        <w:t>”</w:t>
      </w:r>
      <w:r>
        <w:rPr>
          <w:rFonts w:ascii="宋体" w:hAnsi="宋体"/>
          <w:sz w:val="24"/>
        </w:rPr>
        <w:t>模块中的“</w:t>
      </w:r>
      <w:r>
        <w:rPr>
          <w:sz w:val="24"/>
          <w:lang w:bidi="ar-SA"/>
        </w:rPr>
        <w:t>Adaptive</w:t>
      </w:r>
      <w:r>
        <w:rPr>
          <w:rFonts w:ascii="宋体" w:hAnsi="宋体"/>
          <w:sz w:val="24"/>
        </w:rPr>
        <w:t>”</w:t>
      </w:r>
      <w:r>
        <w:rPr>
          <w:rFonts w:ascii="宋体" w:hAnsi="宋体"/>
          <w:sz w:val="24"/>
        </w:rPr>
        <w:t>命令重画网格，使模型更加光滑，并减少尖锐的边角，对网格进行统一化处理有助于有限元分析时的模型转换，具体位置可使用“</w:t>
      </w:r>
      <w:r>
        <w:rPr>
          <w:sz w:val="24"/>
          <w:lang w:bidi="ar-SA"/>
        </w:rPr>
        <w:t>Finish</w:t>
      </w:r>
      <w:r>
        <w:rPr>
          <w:rFonts w:ascii="宋体" w:hAnsi="宋体"/>
          <w:sz w:val="24"/>
        </w:rPr>
        <w:t>”</w:t>
      </w:r>
      <w:r>
        <w:rPr>
          <w:rFonts w:ascii="宋体" w:hAnsi="宋体"/>
          <w:sz w:val="24"/>
        </w:rPr>
        <w:t>中的“</w:t>
      </w:r>
      <w:r>
        <w:rPr>
          <w:sz w:val="24"/>
          <w:lang w:bidi="ar-SA"/>
        </w:rPr>
        <w:t>Local Smoothing</w:t>
      </w:r>
      <w:r>
        <w:rPr>
          <w:rFonts w:ascii="宋体" w:hAnsi="宋体"/>
          <w:sz w:val="24"/>
        </w:rPr>
        <w:t>”</w:t>
      </w:r>
      <w:r>
        <w:rPr>
          <w:rFonts w:ascii="宋体" w:hAnsi="宋体"/>
          <w:sz w:val="24"/>
        </w:rPr>
        <w:t>命令进行光滑操作，以防止分析时出现应力集中的情况。</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2.4</w:t>
      </w:r>
      <w:r>
        <w:rPr>
          <w:rFonts w:ascii="黑体" w:hAnsi="黑体" w:eastAsia="黑体"/>
          <w:sz w:val="30"/>
          <w:szCs w:val="30"/>
        </w:rPr>
        <w:t>建立有限元分析模型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2.4.1.</w:t>
      </w:r>
      <w:r>
        <w:rPr>
          <w:rFonts w:ascii="黑体" w:hAnsi="黑体" w:eastAsia="黑体"/>
          <w:sz w:val="28"/>
          <w:szCs w:val="28"/>
        </w:rPr>
        <w:t>建立牙周膜及松质骨模型</w:t>
      </w:r>
    </w:p>
    <w:p>
      <w:pPr>
        <w:pStyle w:val="Normal"/>
        <w:widowControl/>
        <w:spacing w:lineRule="exact" w:line="400"/>
        <w:ind w:firstLine="535"/>
        <w:rPr>
          <w:rFonts w:ascii="宋体" w:hAnsi="宋体"/>
          <w:sz w:val="24"/>
        </w:rPr>
      </w:pPr>
      <w:r>
        <w:rPr>
          <w:rFonts w:ascii="宋体" w:hAnsi="宋体"/>
          <w:sz w:val="24"/>
        </w:rPr>
        <w:t>因为牙周膜组织厚度较薄，难以直接进行三维重建，故通常假定牙周膜厚度为</w:t>
      </w:r>
      <w:r>
        <w:rPr>
          <w:sz w:val="24"/>
          <w:lang w:bidi="ar-SA"/>
        </w:rPr>
        <w:t>0.25mm</w:t>
      </w:r>
      <w:r>
        <w:rPr>
          <w:rFonts w:ascii="宋体" w:hAnsi="宋体"/>
          <w:sz w:val="24"/>
        </w:rPr>
        <w:t>，通过布尔运算的方式进行建模（</w:t>
      </w:r>
      <w:r>
        <w:rPr>
          <w:rFonts w:ascii="宋体" w:hAnsi="宋体"/>
          <w:color w:val="FF0000"/>
          <w:sz w:val="24"/>
        </w:rPr>
        <w:t>引用</w:t>
      </w:r>
      <w:r>
        <w:rPr>
          <w:rFonts w:ascii="宋体" w:hAnsi="宋体"/>
          <w:sz w:val="24"/>
        </w:rPr>
        <w:t>），将重建完成的完整牙列模型导入到</w:t>
      </w:r>
      <w:r>
        <w:rPr>
          <w:sz w:val="24"/>
          <w:lang w:bidi="ar-SA"/>
        </w:rPr>
        <w:t>Geomagic Warp 2021</w:t>
      </w:r>
      <w:r>
        <w:rPr>
          <w:rFonts w:ascii="宋体" w:hAnsi="宋体"/>
          <w:sz w:val="24"/>
        </w:rPr>
        <w:t xml:space="preserve"> (</w:t>
      </w:r>
      <w:r>
        <w:rPr>
          <w:sz w:val="24"/>
          <w:lang w:bidi="ar-SA"/>
        </w:rPr>
        <w:t>Raindrop</w:t>
      </w:r>
      <w:r>
        <w:rPr>
          <w:rFonts w:ascii="宋体" w:hAnsi="宋体"/>
          <w:sz w:val="24"/>
        </w:rPr>
        <w:t>,</w:t>
      </w:r>
      <w:r>
        <w:rPr>
          <w:rFonts w:ascii="宋体" w:hAnsi="宋体"/>
          <w:sz w:val="24"/>
        </w:rPr>
        <w:t>美国</w:t>
      </w:r>
      <w:r>
        <w:rPr>
          <w:rFonts w:ascii="宋体" w:hAnsi="宋体"/>
          <w:sz w:val="24"/>
        </w:rPr>
        <w:t>)</w:t>
      </w:r>
      <w:r>
        <w:rPr>
          <w:rFonts w:ascii="宋体" w:hAnsi="宋体"/>
          <w:sz w:val="24"/>
        </w:rPr>
        <w:t>软件中，使用“</w:t>
      </w:r>
      <w:r>
        <w:rPr>
          <w:sz w:val="24"/>
          <w:lang w:bidi="ar-SA"/>
        </w:rPr>
        <w:t>Offset</w:t>
      </w:r>
      <w:r>
        <w:rPr>
          <w:rFonts w:ascii="宋体" w:hAnsi="宋体"/>
          <w:sz w:val="24"/>
        </w:rPr>
        <w:t>”</w:t>
      </w:r>
      <w:r>
        <w:rPr>
          <w:rFonts w:ascii="宋体" w:hAnsi="宋体"/>
          <w:sz w:val="24"/>
        </w:rPr>
        <w:t>命令将牙体均匀向外扩大</w:t>
      </w:r>
      <w:r>
        <w:rPr>
          <w:sz w:val="24"/>
          <w:lang w:bidi="ar-SA"/>
        </w:rPr>
        <w:t>0.25mm</w:t>
      </w:r>
      <w:r>
        <w:rPr>
          <w:rFonts w:ascii="宋体" w:hAnsi="宋体"/>
          <w:sz w:val="24"/>
        </w:rPr>
        <w:t>，扩大后的牙列、正常大小的牙列及下颌骨模型导入至</w:t>
      </w:r>
      <w:r>
        <w:rPr>
          <w:sz w:val="24"/>
          <w:lang w:bidi="ar-SA"/>
        </w:rPr>
        <w:t>Ansys2021R</w:t>
      </w:r>
      <w:r>
        <w:rPr>
          <w:rFonts w:ascii="宋体" w:hAnsi="宋体"/>
          <w:sz w:val="24"/>
        </w:rPr>
        <w:t>（</w:t>
      </w:r>
      <w:r>
        <w:rPr>
          <w:sz w:val="24"/>
          <w:lang w:bidi="ar-SA"/>
        </w:rPr>
        <w:t>ANSYS</w:t>
      </w:r>
      <w:r>
        <w:rPr>
          <w:rFonts w:ascii="宋体" w:hAnsi="宋体"/>
          <w:sz w:val="24"/>
        </w:rPr>
        <w:t>，美国）的</w:t>
      </w:r>
      <w:r>
        <w:rPr>
          <w:sz w:val="24"/>
          <w:lang w:bidi="ar-SA"/>
        </w:rPr>
        <w:t>SpaceClaim</w:t>
      </w:r>
      <w:r>
        <w:rPr>
          <w:rFonts w:ascii="宋体" w:hAnsi="宋体"/>
          <w:sz w:val="24"/>
        </w:rPr>
        <w:t>子模块中，通过“工具”模块中的 “</w:t>
      </w:r>
      <w:r>
        <w:rPr>
          <w:sz w:val="24"/>
          <w:lang w:bidi="ar-SA"/>
        </w:rPr>
        <w:t>Auto Skin</w:t>
      </w:r>
      <w:r>
        <w:rPr>
          <w:rFonts w:ascii="宋体" w:hAnsi="宋体"/>
          <w:sz w:val="24"/>
        </w:rPr>
        <w:t>”</w:t>
      </w:r>
      <w:r>
        <w:rPr>
          <w:rFonts w:ascii="宋体" w:hAnsi="宋体"/>
          <w:sz w:val="24"/>
        </w:rPr>
        <w:t>命令将模型转化为可进行有限元分析的实体，先执行“组合”功能将正常牙列与下颌骨通过布尔运算获得牙槽窝，将扩大后的牙列同样通过“组</w:t>
      </w:r>
      <w:r>
        <w:drawing>
          <wp:anchor behindDoc="0" distT="0" distB="0" distL="0" distR="114300" simplePos="0" locked="0" layoutInCell="0" allowOverlap="1" relativeHeight="53">
            <wp:simplePos x="0" y="0"/>
            <wp:positionH relativeFrom="margin">
              <wp:align>left</wp:align>
            </wp:positionH>
            <wp:positionV relativeFrom="paragraph">
              <wp:posOffset>2025650</wp:posOffset>
            </wp:positionV>
            <wp:extent cx="5567045" cy="3476625"/>
            <wp:effectExtent l="0" t="0" r="0" b="0"/>
            <wp:wrapTopAndBottom/>
            <wp:docPr id="2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4" descr=""/>
                    <pic:cNvPicPr>
                      <a:picLocks noChangeAspect="1" noChangeArrowheads="1"/>
                    </pic:cNvPicPr>
                  </pic:nvPicPr>
                  <pic:blipFill>
                    <a:blip r:embed="rId33"/>
                    <a:stretch>
                      <a:fillRect/>
                    </a:stretch>
                  </pic:blipFill>
                  <pic:spPr bwMode="auto">
                    <a:xfrm>
                      <a:off x="0" y="0"/>
                      <a:ext cx="5567045" cy="3476625"/>
                    </a:xfrm>
                    <a:prstGeom prst="rect">
                      <a:avLst/>
                    </a:prstGeom>
                    <a:noFill/>
                  </pic:spPr>
                </pic:pic>
              </a:graphicData>
            </a:graphic>
          </wp:anchor>
        </w:drawing>
      </w:r>
      <w:r>
        <w:rPr>
          <w:rFonts w:ascii="宋体" w:hAnsi="宋体"/>
          <w:sz w:val="24"/>
        </w:rPr>
        <w:t>合”功能获得牙周膜。松质骨的模型重复上述流程即可获得（图</w:t>
      </w:r>
      <w:r>
        <w:rPr>
          <w:sz w:val="24"/>
          <w:lang w:bidi="ar-SA"/>
        </w:rPr>
        <w:t>5</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sz w:val="24"/>
          <w:lang w:bidi="ar-SA"/>
        </w:rPr>
        <w:t>A</w:t>
      </w:r>
      <w:r>
        <w:rPr>
          <w:rFonts w:ascii="宋体" w:hAnsi="宋体"/>
          <w:sz w:val="24"/>
          <w:lang w:bidi="ar-SA"/>
        </w:rPr>
        <w:t>：</w:t>
      </w:r>
      <w:r>
        <w:rPr>
          <w:rFonts w:ascii="宋体" w:hAnsi="宋体"/>
          <w:sz w:val="24"/>
        </w:rPr>
        <w:t xml:space="preserve">牙齿模型 </w:t>
      </w:r>
      <w:r>
        <w:rPr>
          <w:sz w:val="24"/>
          <w:lang w:bidi="ar-SA"/>
        </w:rPr>
        <w:t>B</w:t>
      </w:r>
      <w:r>
        <w:rPr>
          <w:rFonts w:ascii="宋体" w:hAnsi="宋体"/>
          <w:sz w:val="24"/>
          <w:lang w:bidi="ar-SA"/>
        </w:rPr>
        <w:t>：</w:t>
      </w:r>
      <w:r>
        <w:rPr>
          <w:rFonts w:ascii="宋体" w:hAnsi="宋体"/>
          <w:sz w:val="24"/>
        </w:rPr>
        <w:t xml:space="preserve">牙周膜模型 </w:t>
      </w:r>
      <w:r>
        <w:rPr>
          <w:sz w:val="24"/>
          <w:lang w:bidi="ar-SA"/>
        </w:rPr>
        <w:t>C</w:t>
      </w:r>
      <w:r>
        <w:rPr>
          <w:rFonts w:ascii="宋体" w:hAnsi="宋体"/>
          <w:sz w:val="24"/>
          <w:lang w:bidi="ar-SA"/>
        </w:rPr>
        <w:t>：</w:t>
      </w:r>
      <w:r>
        <w:rPr>
          <w:rFonts w:ascii="宋体" w:hAnsi="宋体"/>
          <w:sz w:val="24"/>
        </w:rPr>
        <w:t xml:space="preserve">完整下颌骨及牙列模型 </w:t>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5</w:t>
      </w:r>
      <w:r>
        <w:rPr>
          <w:rFonts w:ascii="宋体" w:hAnsi="宋体"/>
          <w:sz w:val="24"/>
        </w:rPr>
        <w:t xml:space="preserve"> </w:t>
      </w:r>
      <w:r>
        <w:rPr>
          <w:rFonts w:ascii="宋体" w:hAnsi="宋体"/>
          <w:sz w:val="24"/>
        </w:rPr>
        <w:t>完整下颌骨模型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2.4.2.</w:t>
      </w:r>
      <w:r>
        <w:rPr>
          <w:rFonts w:ascii="黑体" w:hAnsi="黑体" w:eastAsia="黑体"/>
          <w:sz w:val="28"/>
          <w:szCs w:val="28"/>
        </w:rPr>
        <w:t>骨折线的设置</w:t>
      </w:r>
    </w:p>
    <w:p>
      <w:pPr>
        <w:pStyle w:val="Normal"/>
        <w:widowControl/>
        <w:spacing w:lineRule="exact" w:line="400"/>
        <w:ind w:firstLine="535"/>
        <w:rPr>
          <w:rFonts w:ascii="宋体" w:hAnsi="宋体"/>
          <w:sz w:val="24"/>
        </w:rPr>
      </w:pPr>
      <w:r>
        <w:rPr>
          <w:rFonts w:ascii="宋体" w:hAnsi="宋体"/>
          <w:sz w:val="24"/>
        </w:rPr>
        <w:t>本研究采用下颌升支骨折的Ⅰ型骨折线，即从乙状切迹至下颌角区的纵形骨折线。使用“</w:t>
      </w:r>
      <w:r>
        <w:rPr>
          <w:sz w:val="24"/>
          <w:lang w:bidi="ar-SA"/>
        </w:rPr>
        <w:t>Design</w:t>
      </w:r>
      <w:r>
        <w:rPr>
          <w:rFonts w:ascii="宋体" w:hAnsi="宋体"/>
          <w:sz w:val="24"/>
        </w:rPr>
        <w:t>”</w:t>
      </w:r>
      <w:r>
        <w:rPr>
          <w:rFonts w:ascii="宋体" w:hAnsi="宋体"/>
          <w:sz w:val="24"/>
        </w:rPr>
        <w:t>模块中，“</w:t>
      </w:r>
      <w:r>
        <w:rPr>
          <w:sz w:val="24"/>
          <w:lang w:bidi="ar-SA"/>
        </w:rPr>
        <w:t>Create</w:t>
      </w:r>
      <w:r>
        <w:rPr>
          <w:rFonts w:ascii="宋体" w:hAnsi="宋体"/>
          <w:sz w:val="24"/>
        </w:rPr>
        <w:t>”</w:t>
      </w:r>
      <w:r>
        <w:rPr>
          <w:rFonts w:ascii="宋体" w:hAnsi="宋体"/>
          <w:sz w:val="24"/>
        </w:rPr>
        <w:t>模块中的“</w:t>
      </w:r>
      <w:r>
        <w:rPr>
          <w:sz w:val="24"/>
          <w:lang w:bidi="ar-SA"/>
        </w:rPr>
        <w:t>Plane</w:t>
      </w:r>
      <w:r>
        <w:rPr>
          <w:rFonts w:ascii="宋体" w:hAnsi="宋体"/>
          <w:sz w:val="24"/>
        </w:rPr>
        <w:t>”</w:t>
      </w:r>
      <w:r>
        <w:rPr>
          <w:rFonts w:ascii="宋体" w:hAnsi="宋体"/>
          <w:sz w:val="24"/>
        </w:rPr>
        <w:t>功能，沿着骨折线的走向建立一个平面，并通过“</w:t>
      </w:r>
      <w:r>
        <w:rPr>
          <w:sz w:val="24"/>
          <w:lang w:bidi="ar-SA"/>
        </w:rPr>
        <w:t>Combine</w:t>
      </w:r>
      <w:r>
        <w:rPr>
          <w:rFonts w:ascii="宋体" w:hAnsi="宋体"/>
          <w:sz w:val="24"/>
        </w:rPr>
        <w:t>”</w:t>
      </w:r>
      <w:r>
        <w:rPr>
          <w:rFonts w:ascii="宋体" w:hAnsi="宋体"/>
          <w:sz w:val="24"/>
        </w:rPr>
        <w:t>功能，将下颌升支分割为两个部分，完成骨折线的设置（图</w:t>
      </w:r>
      <w:r>
        <w:rPr>
          <w:sz w:val="24"/>
          <w:lang w:bidi="ar-SA"/>
        </w:rPr>
        <w:t>6</w:t>
      </w:r>
      <w:r>
        <w:rPr>
          <w:rFonts w:ascii="宋体" w:hAnsi="宋体"/>
          <w:sz w:val="24"/>
        </w:rPr>
        <w:t>）。</w:t>
      </w:r>
    </w:p>
    <w:p>
      <w:pPr>
        <w:pStyle w:val="Normal"/>
        <w:widowControl/>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54">
            <wp:simplePos x="0" y="0"/>
            <wp:positionH relativeFrom="margin">
              <wp:align>right</wp:align>
            </wp:positionH>
            <wp:positionV relativeFrom="paragraph">
              <wp:posOffset>214630</wp:posOffset>
            </wp:positionV>
            <wp:extent cx="5275580" cy="3268980"/>
            <wp:effectExtent l="0" t="0" r="0" b="0"/>
            <wp:wrapTopAndBottom/>
            <wp:docPr id="2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5" descr=""/>
                    <pic:cNvPicPr>
                      <a:picLocks noChangeAspect="1" noChangeArrowheads="1"/>
                    </pic:cNvPicPr>
                  </pic:nvPicPr>
                  <pic:blipFill>
                    <a:blip r:embed="rId34"/>
                    <a:stretch>
                      <a:fillRect/>
                    </a:stretch>
                  </pic:blipFill>
                  <pic:spPr bwMode="auto">
                    <a:xfrm>
                      <a:off x="0" y="0"/>
                      <a:ext cx="5275580" cy="3268980"/>
                    </a:xfrm>
                    <a:prstGeom prst="rect">
                      <a:avLst/>
                    </a:prstGeom>
                    <a:noFill/>
                  </pic:spPr>
                </pic:pic>
              </a:graphicData>
            </a:graphic>
          </wp:anchor>
        </w:drawing>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6</w:t>
      </w:r>
      <w:r>
        <w:rPr>
          <w:rFonts w:ascii="宋体" w:hAnsi="宋体"/>
          <w:sz w:val="24"/>
        </w:rPr>
        <w:t xml:space="preserve"> Ⅰ</w:t>
      </w:r>
      <w:r>
        <w:rPr>
          <w:rFonts w:ascii="宋体" w:hAnsi="宋体"/>
          <w:sz w:val="24"/>
        </w:rPr>
        <w:t>型骨折线模型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2.4.3.</w:t>
      </w:r>
      <w:r>
        <w:rPr>
          <w:rFonts w:ascii="黑体" w:hAnsi="黑体" w:eastAsia="黑体"/>
          <w:sz w:val="28"/>
          <w:szCs w:val="28"/>
        </w:rPr>
        <w:t>建立微钛版模型</w:t>
      </w:r>
    </w:p>
    <w:p>
      <w:pPr>
        <w:pStyle w:val="Normal"/>
        <w:widowControl/>
        <w:spacing w:lineRule="exact" w:line="400"/>
        <w:ind w:firstLine="535"/>
        <w:rPr>
          <w:rFonts w:ascii="宋体" w:hAnsi="宋体"/>
          <w:sz w:val="24"/>
        </w:rPr>
      </w:pPr>
      <w:r>
        <w:rPr>
          <w:rFonts w:ascii="宋体" w:hAnsi="宋体"/>
          <w:sz w:val="24"/>
        </w:rPr>
        <w:t>本研究采用强生公司的四孔微钛板参数作为建模数据，长度为</w:t>
      </w:r>
      <w:r>
        <w:rPr>
          <w:sz w:val="24"/>
          <w:lang w:bidi="ar-SA"/>
        </w:rPr>
        <w:t>27mm</w:t>
      </w:r>
      <w:r>
        <w:rPr>
          <w:rFonts w:ascii="宋体" w:hAnsi="宋体"/>
          <w:sz w:val="24"/>
        </w:rPr>
        <w:t>，厚度为</w:t>
      </w:r>
      <w:r>
        <w:rPr>
          <w:sz w:val="24"/>
          <w:lang w:bidi="ar-SA"/>
        </w:rPr>
        <w:t>1mm</w:t>
      </w:r>
      <w:r>
        <w:rPr>
          <w:rFonts w:ascii="宋体" w:hAnsi="宋体"/>
          <w:sz w:val="24"/>
        </w:rPr>
        <w:t>，螺孔为</w:t>
      </w:r>
      <w:r>
        <w:rPr>
          <w:sz w:val="24"/>
          <w:lang w:bidi="ar-SA"/>
        </w:rPr>
        <w:t>2mm</w:t>
      </w:r>
      <w:r>
        <w:rPr>
          <w:sz w:val="24"/>
          <w:lang w:bidi="ar-SA"/>
        </w:rPr>
        <w:t>。因为在临床中所使用的微钛板会先进行预弯，在放置于骨面上，由于</w:t>
      </w:r>
      <w:r>
        <w:rPr>
          <w:rFonts w:ascii="宋体" w:hAnsi="宋体"/>
          <w:sz w:val="24"/>
        </w:rPr>
        <w:t>骨面曲度较大，并不是规则的几何体，传统的</w:t>
      </w:r>
      <w:r>
        <w:rPr>
          <w:rFonts w:ascii="宋体" w:hAnsi="宋体"/>
          <w:sz w:val="24"/>
        </w:rPr>
        <w:t>CAD</w:t>
      </w:r>
      <w:r>
        <w:rPr>
          <w:rFonts w:ascii="宋体" w:hAnsi="宋体"/>
          <w:sz w:val="24"/>
        </w:rPr>
        <w:t>软件难以直接沿不规则骨面建立微钛板模型，故先与下颌升支水平的方向建立一个平面，并使用“</w:t>
      </w:r>
      <w:r>
        <w:rPr>
          <w:sz w:val="24"/>
          <w:lang w:bidi="ar-SA"/>
        </w:rPr>
        <w:t>Sketch Mode</w:t>
      </w:r>
      <w:r>
        <w:rPr>
          <w:rFonts w:ascii="宋体" w:hAnsi="宋体"/>
          <w:sz w:val="24"/>
        </w:rPr>
        <w:t>”</w:t>
      </w:r>
      <w:r>
        <w:rPr>
          <w:rFonts w:ascii="宋体" w:hAnsi="宋体"/>
          <w:sz w:val="24"/>
        </w:rPr>
        <w:t>平面转化为草图，在草图上绘制微钛板模型的二维草图（图），将骨折线投影到草图上作为参考线，微钛板设计为与骨折线垂直的方向，建立一侧草图后通过镜像的方式生成另一半草图，运行“</w:t>
      </w:r>
      <w:r>
        <w:rPr>
          <w:sz w:val="24"/>
          <w:lang w:bidi="ar-SA"/>
        </w:rPr>
        <w:t>Fill</w:t>
      </w:r>
      <w:r>
        <w:rPr>
          <w:rFonts w:ascii="宋体" w:hAnsi="宋体"/>
          <w:sz w:val="24"/>
        </w:rPr>
        <w:t>”</w:t>
      </w:r>
      <w:r>
        <w:rPr>
          <w:rFonts w:ascii="宋体" w:hAnsi="宋体"/>
          <w:sz w:val="24"/>
        </w:rPr>
        <w:t>命令将草图投影到骨面上，此投影是根据草图的尺寸控制贴合于不规则骨面的线条，复制投影面为独立的面片，将其他模型隐藏，只面片，可见此面片由多个小面组成，并不是完整的独立面，通过修复面及组合功能，将多个面片组合成一个独立的完整面，此面为微钛板与骨面接触的部分，再次复制此面，通过移动功能，设定两面片之间的距离为</w:t>
      </w:r>
      <w:r>
        <w:rPr>
          <w:sz w:val="24"/>
          <w:lang w:bidi="ar-SA"/>
        </w:rPr>
        <w:t>1mm</w:t>
      </w:r>
      <w:r>
        <w:rPr>
          <w:rFonts w:ascii="宋体" w:hAnsi="宋体"/>
          <w:sz w:val="24"/>
        </w:rPr>
        <w:t>，此距离为微钛板的厚度，并将两投影面通过“</w:t>
      </w:r>
      <w:r>
        <w:rPr>
          <w:sz w:val="24"/>
          <w:lang w:bidi="ar-SA"/>
        </w:rPr>
        <w:t>Blend</w:t>
      </w:r>
      <w:r>
        <w:rPr>
          <w:rFonts w:ascii="宋体" w:hAnsi="宋体"/>
          <w:sz w:val="24"/>
        </w:rPr>
        <w:t>”</w:t>
      </w:r>
      <w:r>
        <w:rPr>
          <w:rFonts w:ascii="宋体" w:hAnsi="宋体"/>
          <w:sz w:val="24"/>
        </w:rPr>
        <w:t>功能组合成为微钛版，在组合成微钛板之前，要仔细检查两面是否对齐，如两面未对齐，则会出现微钛板最终模型扭转的情况，导致模型建立不准确。另建立四个螺钉，利用“</w:t>
      </w:r>
      <w:r>
        <w:rPr>
          <w:sz w:val="24"/>
          <w:lang w:bidi="ar-SA"/>
        </w:rPr>
        <w:t>Combine</w:t>
      </w:r>
      <w:r>
        <w:rPr>
          <w:rFonts w:ascii="宋体" w:hAnsi="宋体"/>
          <w:sz w:val="24"/>
        </w:rPr>
        <w:t>”</w:t>
      </w:r>
      <w:r>
        <w:rPr>
          <w:rFonts w:ascii="宋体" w:hAnsi="宋体"/>
          <w:sz w:val="24"/>
        </w:rPr>
        <w:t>功能分割微钛版得到螺钉在微钛版上的螺孔，同样通过此功能，建立螺钉与松质骨和皮质骨的接触面。此方法建立的微钛版可贴合与骨面，满足有限元分析的要求（图</w:t>
      </w:r>
      <w:r>
        <w:rPr>
          <w:sz w:val="24"/>
          <w:lang w:bidi="ar-SA"/>
        </w:rPr>
        <w:t>7</w:t>
      </w:r>
      <w:r>
        <w:rPr>
          <w:rFonts w:ascii="宋体" w:hAnsi="宋体"/>
          <w:sz w:val="24"/>
        </w:rPr>
        <w:t>）。将两微钛板的不同间距分为</w:t>
      </w:r>
      <w:r>
        <w:rPr>
          <w:rFonts w:ascii="宋体" w:hAnsi="宋体"/>
          <w:sz w:val="24"/>
        </w:rPr>
        <w:t>22</w:t>
      </w:r>
      <w:r>
        <w:rPr>
          <w:rFonts w:ascii="宋体" w:hAnsi="宋体"/>
          <w:sz w:val="24"/>
        </w:rPr>
        <w:t>组，</w:t>
      </w:r>
      <w:r>
        <w:rPr>
          <w:rFonts w:ascii="宋体" w:hAnsi="宋体"/>
          <w:sz w:val="24"/>
        </w:rPr>
        <w:t>2mm</w:t>
      </w:r>
      <w:r>
        <w:rPr>
          <w:rFonts w:ascii="宋体" w:hAnsi="宋体"/>
          <w:sz w:val="24"/>
        </w:rPr>
        <w:t>间距为初始距离，以</w:t>
      </w:r>
      <w:r>
        <w:rPr>
          <w:rFonts w:ascii="宋体" w:hAnsi="宋体"/>
          <w:sz w:val="24"/>
        </w:rPr>
        <w:t>1</w:t>
      </w:r>
      <w:r>
        <w:rPr>
          <w:rFonts w:ascii="宋体" w:hAnsi="宋体"/>
          <w:sz w:val="24"/>
        </w:rPr>
        <w:t>毫米为间距增加值，逐步增加两微钛板之间距离至</w:t>
      </w:r>
      <w:r>
        <w:rPr>
          <w:rFonts w:ascii="宋体" w:hAnsi="宋体"/>
          <w:sz w:val="24"/>
        </w:rPr>
        <w:t>23mm</w:t>
      </w:r>
    </w:p>
    <w:p>
      <w:pPr>
        <w:pStyle w:val="Normal"/>
        <w:widowControl/>
        <w:spacing w:lineRule="exact" w:line="400"/>
        <w:rPr>
          <w:rFonts w:ascii="宋体" w:hAnsi="宋体"/>
          <w:sz w:val="24"/>
        </w:rPr>
      </w:pPr>
      <w:r>
        <w:rPr>
          <w:rFonts w:ascii="宋体" w:hAnsi="宋体"/>
          <w:sz w:val="24"/>
        </w:rPr>
        <w:t>（图</w:t>
      </w:r>
      <w:r>
        <w:rPr>
          <w:rFonts w:ascii="宋体" w:hAnsi="宋体"/>
          <w:sz w:val="24"/>
        </w:rPr>
        <w:t>8</w:t>
      </w:r>
      <w:r>
        <w:rPr>
          <w:rFonts w:ascii="宋体" w:hAnsi="宋体"/>
          <w:sz w:val="24"/>
        </w:rPr>
        <w:drawing>
          <wp:anchor behindDoc="0" distT="0" distB="0" distL="114300" distR="114300" simplePos="0" locked="0" layoutInCell="0" allowOverlap="1" relativeHeight="55">
            <wp:simplePos x="0" y="0"/>
            <wp:positionH relativeFrom="column">
              <wp:posOffset>1905</wp:posOffset>
            </wp:positionH>
            <wp:positionV relativeFrom="paragraph">
              <wp:posOffset>254000</wp:posOffset>
            </wp:positionV>
            <wp:extent cx="5278120" cy="3284220"/>
            <wp:effectExtent l="0" t="0" r="0" b="0"/>
            <wp:wrapTight wrapText="bothSides">
              <wp:wrapPolygon edited="0">
                <wp:start x="-3" y="0"/>
                <wp:lineTo x="-3" y="21423"/>
                <wp:lineTo x="21514" y="21423"/>
                <wp:lineTo x="21514" y="0"/>
                <wp:lineTo x="-3" y="0"/>
              </wp:wrapPolygon>
            </wp:wrapTight>
            <wp:docPr id="2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6" descr=""/>
                    <pic:cNvPicPr>
                      <a:picLocks noChangeAspect="1" noChangeArrowheads="1"/>
                    </pic:cNvPicPr>
                  </pic:nvPicPr>
                  <pic:blipFill>
                    <a:blip r:embed="rId35"/>
                    <a:stretch>
                      <a:fillRect/>
                    </a:stretch>
                  </pic:blipFill>
                  <pic:spPr bwMode="auto">
                    <a:xfrm>
                      <a:off x="0" y="0"/>
                      <a:ext cx="5278120" cy="3284220"/>
                    </a:xfrm>
                    <a:prstGeom prst="rect">
                      <a:avLst/>
                    </a:prstGeom>
                    <a:noFill/>
                  </pic:spPr>
                </pic:pic>
              </a:graphicData>
            </a:graphic>
          </wp:anchor>
        </w:drawing>
      </w:r>
      <w:r>
        <w:rPr>
          <w:rFonts w:ascii="宋体" w:hAnsi="宋体"/>
          <w:sz w:val="24"/>
        </w:rPr>
        <w:t>）。</w:t>
      </w:r>
    </w:p>
    <w:p>
      <w:pPr>
        <w:pStyle w:val="Normal"/>
        <w:widowControl/>
        <w:spacing w:lineRule="exact" w:line="400"/>
        <w:ind w:firstLine="535"/>
        <w:jc w:val="center"/>
        <w:rPr>
          <w:rFonts w:ascii="宋体" w:hAnsi="宋体"/>
          <w:sz w:val="24"/>
        </w:rPr>
      </w:pPr>
      <w:bookmarkStart w:id="2" w:name="_Hlk189701963"/>
      <w:r>
        <w:rPr>
          <w:rFonts w:ascii="宋体" w:hAnsi="宋体"/>
          <w:sz w:val="24"/>
          <w:lang w:bidi="ar-SA"/>
        </w:rPr>
        <w:t>A</w:t>
      </w:r>
      <w:r>
        <w:rPr>
          <w:rFonts w:ascii="宋体" w:hAnsi="宋体"/>
          <w:sz w:val="24"/>
          <w:lang w:bidi="ar-SA"/>
        </w:rPr>
        <w:t>：</w:t>
      </w:r>
      <w:r>
        <w:rPr>
          <w:rFonts w:ascii="宋体" w:hAnsi="宋体"/>
          <w:sz w:val="24"/>
        </w:rPr>
        <w:t xml:space="preserve">建立微钛板草图绘制 </w:t>
      </w:r>
      <w:r>
        <w:rPr>
          <w:rFonts w:ascii="宋体" w:hAnsi="宋体"/>
          <w:sz w:val="24"/>
          <w:lang w:bidi="ar-SA"/>
        </w:rPr>
        <w:t>B</w:t>
      </w:r>
      <w:r>
        <w:rPr>
          <w:rFonts w:ascii="宋体" w:hAnsi="宋体"/>
          <w:sz w:val="24"/>
          <w:lang w:bidi="ar-SA"/>
        </w:rPr>
        <w:t>：</w:t>
      </w:r>
      <w:r>
        <w:rPr>
          <w:rFonts w:ascii="宋体" w:hAnsi="宋体"/>
          <w:sz w:val="24"/>
        </w:rPr>
        <w:t xml:space="preserve">删除辅助线形成微钛板平面图 </w:t>
      </w:r>
      <w:r>
        <w:rPr>
          <w:rFonts w:ascii="宋体" w:hAnsi="宋体"/>
          <w:sz w:val="24"/>
        </w:rPr>
        <w:t>C</w:t>
      </w:r>
      <w:r>
        <w:rPr>
          <w:rFonts w:ascii="宋体" w:hAnsi="宋体"/>
          <w:sz w:val="24"/>
          <w:lang w:bidi="ar-SA"/>
        </w:rPr>
        <w:t>：</w:t>
      </w:r>
      <w:r>
        <w:rPr>
          <w:rFonts w:ascii="宋体" w:hAnsi="宋体"/>
          <w:sz w:val="24"/>
        </w:rPr>
        <w:t xml:space="preserve">平面图投影到骨面 </w:t>
      </w:r>
      <w:r>
        <w:rPr>
          <w:rFonts w:ascii="宋体" w:hAnsi="宋体"/>
          <w:sz w:val="24"/>
          <w:lang w:bidi="ar-SA"/>
        </w:rPr>
        <w:t>D</w:t>
      </w:r>
      <w:r>
        <w:rPr>
          <w:rFonts w:ascii="宋体" w:hAnsi="宋体"/>
          <w:sz w:val="24"/>
          <w:lang w:bidi="ar-SA"/>
        </w:rPr>
        <w:t>：</w:t>
      </w:r>
      <w:r>
        <w:rPr>
          <w:rFonts w:ascii="宋体" w:hAnsi="宋体"/>
          <w:sz w:val="24"/>
        </w:rPr>
        <w:t xml:space="preserve">复制面片并孤立 </w:t>
      </w:r>
      <w:r>
        <w:rPr>
          <w:rFonts w:ascii="宋体" w:hAnsi="宋体"/>
          <w:sz w:val="24"/>
          <w:lang w:bidi="ar-SA"/>
        </w:rPr>
        <w:t>E</w:t>
      </w:r>
      <w:r>
        <w:rPr>
          <w:rFonts w:ascii="宋体" w:hAnsi="宋体"/>
          <w:sz w:val="24"/>
          <w:lang w:bidi="ar-SA"/>
        </w:rPr>
        <w:t>：</w:t>
      </w:r>
      <w:r>
        <w:rPr>
          <w:rFonts w:ascii="宋体" w:hAnsi="宋体"/>
          <w:sz w:val="24"/>
        </w:rPr>
        <w:t xml:space="preserve">合并小面片为一个面 </w:t>
      </w:r>
      <w:r>
        <w:rPr>
          <w:rFonts w:ascii="宋体" w:hAnsi="宋体"/>
          <w:sz w:val="24"/>
          <w:lang w:bidi="ar-SA"/>
        </w:rPr>
        <w:t>F</w:t>
      </w:r>
      <w:r>
        <w:rPr>
          <w:rFonts w:ascii="宋体" w:hAnsi="宋体"/>
          <w:sz w:val="24"/>
          <w:lang w:bidi="ar-SA"/>
        </w:rPr>
        <w:t>：</w:t>
      </w:r>
      <w:r>
        <w:rPr>
          <w:rFonts w:ascii="宋体" w:hAnsi="宋体"/>
          <w:sz w:val="24"/>
        </w:rPr>
        <w:t xml:space="preserve">两面融合成贴合骨面的微钛板 </w:t>
      </w:r>
      <w:r>
        <w:rPr>
          <w:rFonts w:ascii="宋体" w:hAnsi="宋体"/>
          <w:sz w:val="24"/>
          <w:lang w:bidi="ar-SA"/>
        </w:rPr>
        <w:t>G</w:t>
      </w:r>
      <w:r>
        <w:rPr>
          <w:rFonts w:ascii="宋体" w:hAnsi="宋体"/>
          <w:sz w:val="24"/>
          <w:lang w:bidi="ar-SA"/>
        </w:rPr>
        <w:t>：</w:t>
      </w:r>
      <w:r>
        <w:rPr>
          <w:rFonts w:ascii="宋体" w:hAnsi="宋体"/>
          <w:sz w:val="24"/>
        </w:rPr>
        <w:t xml:space="preserve">与骨面的关系 </w:t>
      </w:r>
      <w:r>
        <w:rPr>
          <w:rFonts w:ascii="宋体" w:hAnsi="宋体"/>
          <w:sz w:val="24"/>
          <w:lang w:bidi="ar-SA"/>
        </w:rPr>
        <w:t>H</w:t>
      </w:r>
      <w:r>
        <w:rPr>
          <w:rFonts w:ascii="宋体" w:hAnsi="宋体"/>
          <w:sz w:val="24"/>
          <w:lang w:bidi="ar-SA"/>
        </w:rPr>
        <w:t>：</w:t>
      </w:r>
      <w:r>
        <w:rPr>
          <w:rFonts w:ascii="宋体" w:hAnsi="宋体"/>
          <w:sz w:val="24"/>
        </w:rPr>
        <w:t xml:space="preserve">生成螺孔 </w:t>
      </w:r>
      <w:r>
        <w:rPr>
          <w:rFonts w:ascii="宋体" w:hAnsi="宋体"/>
          <w:sz w:val="24"/>
          <w:lang w:bidi="ar-SA"/>
        </w:rPr>
        <w:t>I</w:t>
      </w:r>
      <w:r>
        <w:rPr>
          <w:rFonts w:ascii="宋体" w:hAnsi="宋体"/>
          <w:sz w:val="24"/>
          <w:lang w:bidi="ar-SA"/>
        </w:rPr>
        <w:t>：</w:t>
      </w:r>
      <w:r>
        <w:rPr>
          <w:rFonts w:ascii="宋体" w:hAnsi="宋体"/>
          <w:sz w:val="24"/>
        </w:rPr>
        <w:t>完整微钛板模型</w:t>
      </w:r>
    </w:p>
    <w:p>
      <w:pPr>
        <w:pStyle w:val="Normal"/>
        <w:widowControl/>
        <w:spacing w:lineRule="exact" w:line="400" w:before="240" w:after="240"/>
        <w:ind w:right="238"/>
        <w:jc w:val="center"/>
        <w:rPr>
          <w:rFonts w:ascii="宋体" w:hAnsi="宋体"/>
          <w:sz w:val="24"/>
        </w:rPr>
      </w:pPr>
      <w:r>
        <w:rPr>
          <w:rFonts w:ascii="宋体" w:hAnsi="宋体"/>
          <w:sz w:val="24"/>
        </w:rPr>
        <w:t>图</w:t>
      </w:r>
      <w:r>
        <w:rPr>
          <w:rFonts w:ascii="宋体" w:hAnsi="宋体"/>
          <w:sz w:val="24"/>
        </w:rPr>
        <w:t xml:space="preserve">7 </w:t>
      </w:r>
      <w:r>
        <w:rPr>
          <w:rFonts w:ascii="宋体" w:hAnsi="宋体"/>
          <w:sz w:val="24"/>
        </w:rPr>
        <w:t>微钛板建模流程</w:t>
      </w:r>
      <w:bookmarkEnd w:id="2"/>
    </w:p>
    <w:p>
      <w:pPr>
        <w:pStyle w:val="Normal"/>
        <w:widowControl/>
        <w:spacing w:lineRule="exact" w:line="400"/>
        <w:rPr>
          <w:rFonts w:ascii="宋体" w:hAnsi="宋体"/>
          <w:sz w:val="24"/>
        </w:rPr>
      </w:pPr>
      <w:r>
        <w:rPr>
          <w:rFonts w:ascii="宋体" w:hAnsi="宋体"/>
          <w:sz w:val="24"/>
        </w:rPr>
        <w:drawing>
          <wp:anchor behindDoc="0" distT="0" distB="0" distL="0" distR="114300" simplePos="0" locked="0" layoutInCell="0" allowOverlap="1" relativeHeight="56">
            <wp:simplePos x="0" y="0"/>
            <wp:positionH relativeFrom="margin">
              <wp:align>left</wp:align>
            </wp:positionH>
            <wp:positionV relativeFrom="margin">
              <wp:align>top</wp:align>
            </wp:positionV>
            <wp:extent cx="5386070" cy="4880610"/>
            <wp:effectExtent l="0" t="0" r="0" b="0"/>
            <wp:wrapTight wrapText="bothSides">
              <wp:wrapPolygon edited="0">
                <wp:start x="-4" y="0"/>
                <wp:lineTo x="-4" y="21496"/>
                <wp:lineTo x="21541" y="21496"/>
                <wp:lineTo x="21541" y="0"/>
                <wp:lineTo x="-4" y="0"/>
              </wp:wrapPolygon>
            </wp:wrapTight>
            <wp:docPr id="3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
                    <pic:cNvPicPr>
                      <a:picLocks noChangeAspect="1" noChangeArrowheads="1"/>
                    </pic:cNvPicPr>
                  </pic:nvPicPr>
                  <pic:blipFill>
                    <a:blip r:embed="rId36"/>
                    <a:stretch>
                      <a:fillRect/>
                    </a:stretch>
                  </pic:blipFill>
                  <pic:spPr bwMode="auto">
                    <a:xfrm>
                      <a:off x="0" y="0"/>
                      <a:ext cx="5386070" cy="4880610"/>
                    </a:xfrm>
                    <a:prstGeom prst="rect">
                      <a:avLst/>
                    </a:prstGeom>
                    <a:noFill/>
                  </pic:spPr>
                </pic:pic>
              </a:graphicData>
            </a:graphic>
          </wp:anchor>
        </w:drawing>
      </w:r>
    </w:p>
    <w:p>
      <w:pPr>
        <w:pStyle w:val="Normal"/>
        <w:overflowPunct w:val="true"/>
        <w:snapToGrid w:val="false"/>
        <w:spacing w:lineRule="exact" w:line="400"/>
        <w:ind w:firstLine="535"/>
        <w:jc w:val="center"/>
        <w:rPr>
          <w:rFonts w:ascii="宋体" w:hAnsi="宋体"/>
          <w:sz w:val="24"/>
          <w:lang w:bidi="ar-SA"/>
        </w:rPr>
      </w:pPr>
      <w:r>
        <w:rPr>
          <w:rFonts w:ascii="宋体" w:hAnsi="宋体"/>
          <w:sz w:val="24"/>
          <w:lang w:bidi="ar-SA"/>
        </w:rPr>
        <w:t>A</w:t>
      </w:r>
      <w:r>
        <w:rPr>
          <w:rFonts w:ascii="宋体" w:hAnsi="宋体"/>
          <w:sz w:val="24"/>
          <w:lang w:bidi="ar-SA"/>
        </w:rPr>
        <w:t>：间距</w:t>
      </w:r>
      <w:r>
        <w:rPr>
          <w:rFonts w:ascii="宋体" w:hAnsi="宋体"/>
          <w:sz w:val="24"/>
          <w:lang w:bidi="ar-SA"/>
        </w:rPr>
        <w:t>2mm B</w:t>
      </w:r>
      <w:r>
        <w:rPr>
          <w:rFonts w:ascii="宋体" w:hAnsi="宋体"/>
          <w:sz w:val="24"/>
          <w:lang w:bidi="ar-SA"/>
        </w:rPr>
        <w:t>：间距</w:t>
      </w:r>
      <w:r>
        <w:rPr>
          <w:rFonts w:ascii="宋体" w:hAnsi="宋体"/>
          <w:sz w:val="24"/>
          <w:lang w:bidi="ar-SA"/>
        </w:rPr>
        <w:t>3mm C</w:t>
      </w:r>
      <w:r>
        <w:rPr>
          <w:rFonts w:ascii="宋体" w:hAnsi="宋体"/>
          <w:sz w:val="24"/>
          <w:lang w:bidi="ar-SA"/>
        </w:rPr>
        <w:t>：间距</w:t>
      </w:r>
      <w:r>
        <w:rPr>
          <w:rFonts w:ascii="宋体" w:hAnsi="宋体"/>
          <w:sz w:val="24"/>
          <w:lang w:bidi="ar-SA"/>
        </w:rPr>
        <w:t>4mm D</w:t>
      </w:r>
      <w:r>
        <w:rPr>
          <w:rFonts w:ascii="宋体" w:hAnsi="宋体"/>
          <w:sz w:val="24"/>
          <w:lang w:bidi="ar-SA"/>
        </w:rPr>
        <w:t>：间距</w:t>
      </w:r>
      <w:r>
        <w:rPr>
          <w:rFonts w:ascii="宋体" w:hAnsi="宋体"/>
          <w:sz w:val="24"/>
          <w:lang w:bidi="ar-SA"/>
        </w:rPr>
        <w:t>5mm E</w:t>
      </w:r>
      <w:r>
        <w:rPr>
          <w:rFonts w:ascii="宋体" w:hAnsi="宋体"/>
          <w:sz w:val="24"/>
          <w:lang w:bidi="ar-SA"/>
        </w:rPr>
        <w:t>：间</w:t>
      </w:r>
      <w:r>
        <w:rPr>
          <w:rFonts w:ascii="宋体" w:hAnsi="宋体"/>
          <w:sz w:val="24"/>
          <w:lang w:bidi="ar-SA"/>
        </w:rPr>
        <w:t>6mm F</w:t>
      </w:r>
      <w:r>
        <w:rPr>
          <w:rFonts w:ascii="宋体" w:hAnsi="宋体"/>
          <w:sz w:val="24"/>
          <w:lang w:bidi="ar-SA"/>
        </w:rPr>
        <w:t>：间距</w:t>
      </w:r>
      <w:r>
        <w:rPr>
          <w:rFonts w:ascii="宋体" w:hAnsi="宋体"/>
          <w:sz w:val="24"/>
          <w:lang w:bidi="ar-SA"/>
        </w:rPr>
        <w:t>7mm G</w:t>
      </w:r>
      <w:r>
        <w:rPr>
          <w:rFonts w:ascii="宋体" w:hAnsi="宋体"/>
          <w:sz w:val="24"/>
          <w:lang w:bidi="ar-SA"/>
        </w:rPr>
        <w:t>：间距</w:t>
      </w:r>
      <w:r>
        <w:rPr>
          <w:rFonts w:ascii="宋体" w:hAnsi="宋体"/>
          <w:sz w:val="24"/>
          <w:lang w:bidi="ar-SA"/>
        </w:rPr>
        <w:t>8mm</w:t>
      </w:r>
    </w:p>
    <w:p>
      <w:pPr>
        <w:pStyle w:val="Normal"/>
        <w:overflowPunct w:val="true"/>
        <w:snapToGrid w:val="false"/>
        <w:spacing w:lineRule="exact" w:line="400"/>
        <w:ind w:firstLine="535"/>
        <w:jc w:val="center"/>
        <w:rPr>
          <w:rFonts w:ascii="宋体" w:hAnsi="宋体"/>
          <w:sz w:val="24"/>
          <w:lang w:bidi="ar-SA"/>
        </w:rPr>
      </w:pPr>
      <w:r>
        <w:rPr>
          <w:rFonts w:ascii="宋体" w:hAnsi="宋体"/>
          <w:sz w:val="24"/>
          <w:lang w:bidi="ar-SA"/>
        </w:rPr>
        <w:t>H</w:t>
      </w:r>
      <w:r>
        <w:rPr>
          <w:rFonts w:ascii="宋体" w:hAnsi="宋体"/>
          <w:sz w:val="24"/>
          <w:lang w:bidi="ar-SA"/>
        </w:rPr>
        <w:t>：间距</w:t>
      </w:r>
      <w:r>
        <w:rPr>
          <w:rFonts w:ascii="宋体" w:hAnsi="宋体"/>
          <w:sz w:val="24"/>
          <w:lang w:bidi="ar-SA"/>
        </w:rPr>
        <w:t>9mm I</w:t>
      </w:r>
      <w:r>
        <w:rPr>
          <w:rFonts w:ascii="宋体" w:hAnsi="宋体"/>
          <w:sz w:val="24"/>
          <w:lang w:bidi="ar-SA"/>
        </w:rPr>
        <w:t>：间距</w:t>
      </w:r>
      <w:r>
        <w:rPr>
          <w:rFonts w:ascii="宋体" w:hAnsi="宋体"/>
          <w:sz w:val="24"/>
          <w:lang w:bidi="ar-SA"/>
        </w:rPr>
        <w:t>10mm J</w:t>
      </w:r>
      <w:r>
        <w:rPr>
          <w:rFonts w:ascii="宋体" w:hAnsi="宋体"/>
          <w:sz w:val="24"/>
          <w:lang w:bidi="ar-SA"/>
        </w:rPr>
        <w:t>：间距</w:t>
      </w:r>
      <w:r>
        <w:rPr>
          <w:rFonts w:ascii="宋体" w:hAnsi="宋体"/>
          <w:sz w:val="24"/>
          <w:lang w:bidi="ar-SA"/>
        </w:rPr>
        <w:t>11mm K</w:t>
      </w:r>
      <w:r>
        <w:rPr>
          <w:rFonts w:ascii="宋体" w:hAnsi="宋体"/>
          <w:sz w:val="24"/>
          <w:lang w:bidi="ar-SA"/>
        </w:rPr>
        <w:t xml:space="preserve">：间距 </w:t>
      </w:r>
      <w:r>
        <w:rPr>
          <w:rFonts w:ascii="宋体" w:hAnsi="宋体"/>
          <w:sz w:val="24"/>
          <w:lang w:bidi="ar-SA"/>
        </w:rPr>
        <w:t>12mm L</w:t>
      </w:r>
      <w:r>
        <w:rPr>
          <w:rFonts w:ascii="宋体" w:hAnsi="宋体"/>
          <w:sz w:val="24"/>
          <w:lang w:bidi="ar-SA"/>
        </w:rPr>
        <w:t>：间距</w:t>
      </w:r>
      <w:r>
        <w:rPr>
          <w:rFonts w:ascii="宋体" w:hAnsi="宋体"/>
          <w:sz w:val="24"/>
          <w:lang w:bidi="ar-SA"/>
        </w:rPr>
        <w:t>13mm M</w:t>
      </w:r>
      <w:r>
        <w:rPr>
          <w:rFonts w:ascii="宋体" w:hAnsi="宋体"/>
          <w:sz w:val="24"/>
          <w:lang w:bidi="ar-SA"/>
        </w:rPr>
        <w:t>：间距</w:t>
      </w:r>
      <w:r>
        <w:rPr>
          <w:rFonts w:ascii="宋体" w:hAnsi="宋体"/>
          <w:sz w:val="24"/>
          <w:lang w:bidi="ar-SA"/>
        </w:rPr>
        <w:t>14mm N</w:t>
      </w:r>
      <w:r>
        <w:rPr>
          <w:rFonts w:ascii="宋体" w:hAnsi="宋体"/>
          <w:sz w:val="24"/>
          <w:lang w:bidi="ar-SA"/>
        </w:rPr>
        <w:t>：间距</w:t>
      </w:r>
      <w:r>
        <w:rPr>
          <w:rFonts w:ascii="宋体" w:hAnsi="宋体"/>
          <w:sz w:val="24"/>
          <w:lang w:bidi="ar-SA"/>
        </w:rPr>
        <w:t>15mm O</w:t>
      </w:r>
      <w:r>
        <w:rPr>
          <w:rFonts w:ascii="宋体" w:hAnsi="宋体"/>
          <w:sz w:val="24"/>
          <w:lang w:bidi="ar-SA"/>
        </w:rPr>
        <w:t>：间距</w:t>
      </w:r>
      <w:r>
        <w:rPr>
          <w:rFonts w:ascii="宋体" w:hAnsi="宋体"/>
          <w:sz w:val="24"/>
          <w:lang w:bidi="ar-SA"/>
        </w:rPr>
        <w:t>16mm P</w:t>
      </w:r>
      <w:r>
        <w:rPr>
          <w:rFonts w:ascii="宋体" w:hAnsi="宋体"/>
          <w:sz w:val="24"/>
          <w:lang w:bidi="ar-SA"/>
        </w:rPr>
        <w:t>：间距</w:t>
      </w:r>
      <w:r>
        <w:rPr>
          <w:rFonts w:ascii="宋体" w:hAnsi="宋体"/>
          <w:sz w:val="24"/>
          <w:lang w:bidi="ar-SA"/>
        </w:rPr>
        <w:t>17mm Q</w:t>
      </w:r>
      <w:r>
        <w:rPr>
          <w:rFonts w:ascii="宋体" w:hAnsi="宋体"/>
          <w:sz w:val="24"/>
          <w:lang w:bidi="ar-SA"/>
        </w:rPr>
        <w:t>：间距</w:t>
      </w:r>
      <w:r>
        <w:rPr>
          <w:rFonts w:ascii="宋体" w:hAnsi="宋体"/>
          <w:sz w:val="24"/>
          <w:lang w:bidi="ar-SA"/>
        </w:rPr>
        <w:t>18mm R</w:t>
      </w:r>
      <w:r>
        <w:rPr>
          <w:rFonts w:ascii="宋体" w:hAnsi="宋体"/>
          <w:sz w:val="24"/>
          <w:lang w:bidi="ar-SA"/>
        </w:rPr>
        <w:t>：间距</w:t>
      </w:r>
      <w:r>
        <w:rPr>
          <w:rFonts w:ascii="宋体" w:hAnsi="宋体"/>
          <w:sz w:val="24"/>
          <w:lang w:bidi="ar-SA"/>
        </w:rPr>
        <w:t>19mm S</w:t>
      </w:r>
      <w:r>
        <w:rPr>
          <w:rFonts w:ascii="宋体" w:hAnsi="宋体"/>
          <w:sz w:val="24"/>
          <w:lang w:bidi="ar-SA"/>
        </w:rPr>
        <w:t>：间距</w:t>
      </w:r>
      <w:r>
        <w:rPr>
          <w:rFonts w:ascii="宋体" w:hAnsi="宋体"/>
          <w:sz w:val="24"/>
          <w:lang w:bidi="ar-SA"/>
        </w:rPr>
        <w:t>20mm T</w:t>
      </w:r>
      <w:r>
        <w:rPr>
          <w:rFonts w:ascii="宋体" w:hAnsi="宋体"/>
          <w:sz w:val="24"/>
          <w:lang w:bidi="ar-SA"/>
        </w:rPr>
        <w:t>：间距</w:t>
      </w:r>
      <w:r>
        <w:rPr>
          <w:rFonts w:ascii="宋体" w:hAnsi="宋体"/>
          <w:sz w:val="24"/>
          <w:lang w:bidi="ar-SA"/>
        </w:rPr>
        <w:t>21mm</w:t>
      </w:r>
    </w:p>
    <w:p>
      <w:pPr>
        <w:pStyle w:val="Normal"/>
        <w:overflowPunct w:val="true"/>
        <w:snapToGrid w:val="false"/>
        <w:spacing w:lineRule="exact" w:line="400"/>
        <w:ind w:firstLine="535"/>
        <w:jc w:val="center"/>
        <w:rPr>
          <w:rFonts w:ascii="宋体" w:hAnsi="宋体"/>
          <w:sz w:val="24"/>
          <w:lang w:bidi="ar-SA"/>
        </w:rPr>
      </w:pPr>
      <w:r>
        <w:rPr>
          <w:rFonts w:ascii="宋体" w:hAnsi="宋体"/>
          <w:sz w:val="24"/>
          <w:lang w:bidi="ar-SA"/>
        </w:rPr>
        <w:t>U</w:t>
      </w:r>
      <w:r>
        <w:rPr>
          <w:rFonts w:ascii="宋体" w:hAnsi="宋体"/>
          <w:sz w:val="24"/>
          <w:lang w:bidi="ar-SA"/>
        </w:rPr>
        <w:t>：间距</w:t>
      </w:r>
      <w:r>
        <w:rPr>
          <w:rFonts w:ascii="宋体" w:hAnsi="宋体"/>
          <w:sz w:val="24"/>
          <w:lang w:bidi="ar-SA"/>
        </w:rPr>
        <w:t>22mm V</w:t>
      </w:r>
      <w:r>
        <w:rPr>
          <w:rFonts w:ascii="宋体" w:hAnsi="宋体"/>
          <w:sz w:val="24"/>
          <w:lang w:bidi="ar-SA"/>
        </w:rPr>
        <w:t>：间距</w:t>
      </w:r>
      <w:r>
        <w:rPr>
          <w:rFonts w:ascii="宋体" w:hAnsi="宋体"/>
          <w:sz w:val="24"/>
          <w:lang w:bidi="ar-SA"/>
        </w:rPr>
        <w:t>23mm</w:t>
      </w:r>
    </w:p>
    <w:p>
      <w:pPr>
        <w:pStyle w:val="Normal"/>
        <w:widowControl/>
        <w:spacing w:lineRule="exact" w:line="400" w:before="240" w:after="240"/>
        <w:ind w:right="238"/>
        <w:jc w:val="center"/>
        <w:rPr>
          <w:rFonts w:ascii="宋体" w:hAnsi="宋体"/>
          <w:sz w:val="24"/>
          <w:lang w:bidi="ar-SA"/>
        </w:rPr>
      </w:pPr>
      <w:r>
        <w:rPr>
          <w:rFonts w:ascii="宋体" w:hAnsi="宋体"/>
          <w:sz w:val="24"/>
          <w:lang w:bidi="ar-SA"/>
        </w:rPr>
        <w:t>图</w:t>
      </w:r>
      <w:r>
        <w:rPr>
          <w:rFonts w:ascii="宋体" w:hAnsi="宋体"/>
          <w:sz w:val="24"/>
          <w:lang w:bidi="ar-SA"/>
        </w:rPr>
        <w:t xml:space="preserve">8 </w:t>
      </w:r>
      <w:r>
        <w:rPr>
          <w:rFonts w:ascii="宋体" w:hAnsi="宋体"/>
          <w:sz w:val="24"/>
          <w:lang w:bidi="ar-SA"/>
        </w:rPr>
        <w:t>实验分组</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2.5</w:t>
      </w:r>
      <w:r>
        <w:rPr>
          <w:rFonts w:ascii="黑体" w:hAnsi="黑体" w:eastAsia="黑体"/>
          <w:sz w:val="30"/>
          <w:szCs w:val="30"/>
        </w:rPr>
        <w:t>有限元分析</w:t>
      </w:r>
    </w:p>
    <w:p>
      <w:pPr>
        <w:pStyle w:val="Normal"/>
        <w:widowControl/>
        <w:spacing w:lineRule="exact" w:line="400"/>
        <w:ind w:firstLine="535"/>
        <w:rPr>
          <w:rFonts w:ascii="宋体" w:hAnsi="宋体"/>
          <w:sz w:val="24"/>
        </w:rPr>
      </w:pPr>
      <w:r>
        <w:rPr>
          <w:rFonts w:ascii="宋体" w:hAnsi="宋体"/>
          <w:sz w:val="24"/>
        </w:rPr>
        <w:t>材料参数设置材料设置使用既往研究中采用的材料属性进行设置，材料参数见下表（表</w:t>
      </w:r>
      <w:r>
        <w:rPr>
          <w:sz w:val="24"/>
          <w:lang w:bidi="ar-SA"/>
        </w:rPr>
        <w:t>1</w:t>
      </w:r>
      <w:r>
        <w:rPr>
          <w:rFonts w:ascii="宋体" w:hAnsi="宋体"/>
          <w:sz w:val="24"/>
        </w:rPr>
        <w:t>） 两骨折线之间设置为摩擦接触，摩擦参数为</w:t>
      </w:r>
      <w:r>
        <w:rPr>
          <w:sz w:val="24"/>
          <w:lang w:bidi="ar-SA"/>
        </w:rPr>
        <w:t>0.3</w:t>
      </w:r>
      <w:r>
        <w:rPr>
          <w:rFonts w:ascii="宋体" w:hAnsi="宋体"/>
          <w:sz w:val="24"/>
        </w:rPr>
        <w:t>，固定双侧髁突，以下颌骨中心位置作为中心点置施加咬合力的坐标系，分别在双侧第一磨牙上施加</w:t>
      </w:r>
      <w:r>
        <w:rPr>
          <w:rFonts w:ascii="宋体" w:hAnsi="宋体"/>
          <w:sz w:val="24"/>
        </w:rPr>
        <w:t>230N</w:t>
      </w:r>
      <w:r>
        <w:rPr>
          <w:rFonts w:ascii="宋体" w:hAnsi="宋体"/>
          <w:sz w:val="24"/>
        </w:rPr>
        <w:t>的力（图</w:t>
      </w:r>
      <w:r>
        <w:rPr>
          <w:rFonts w:ascii="宋体" w:hAnsi="宋体"/>
          <w:sz w:val="24"/>
        </w:rPr>
        <w:t>9</w:t>
      </w:r>
      <w:r>
        <w:rPr>
          <w:rFonts w:ascii="宋体" w:hAnsi="宋体"/>
          <w:sz w:val="24"/>
        </w:rPr>
        <w:t>），有文献表明在乙状切迹处设置原点坐标系，通过计算两坐标系之间在施加载荷之后的距离，来量化相对位移的距离（图</w:t>
      </w:r>
      <w:r>
        <w:rPr>
          <w:rFonts w:ascii="宋体" w:hAnsi="宋体"/>
          <w:sz w:val="24"/>
        </w:rPr>
        <w:t>10</w:t>
      </w:r>
      <w:r>
        <w:rPr>
          <w:rFonts w:ascii="宋体" w:hAnsi="宋体"/>
          <w:sz w:val="24"/>
        </w:rPr>
        <w:t>）。</w:t>
      </w:r>
    </w:p>
    <w:p>
      <w:pPr>
        <w:pStyle w:val="Normal"/>
        <w:widowControl/>
        <w:spacing w:lineRule="exact" w:line="400"/>
        <w:ind w:firstLine="535"/>
        <w:jc w:val="center"/>
        <w:rPr>
          <w:rFonts w:ascii="宋体" w:hAnsi="宋体"/>
          <w:sz w:val="24"/>
        </w:rPr>
      </w:pPr>
      <w:r>
        <w:rPr>
          <w:rFonts w:ascii="宋体" w:hAnsi="宋体"/>
          <w:sz w:val="24"/>
        </w:rPr>
        <w:t>表</w:t>
      </w:r>
      <w:r>
        <w:rPr>
          <w:rFonts w:ascii="宋体" w:hAnsi="宋体"/>
          <w:sz w:val="24"/>
        </w:rPr>
        <w:t xml:space="preserve">1 </w:t>
      </w:r>
      <w:r>
        <w:rPr>
          <w:rFonts w:ascii="宋体" w:hAnsi="宋体"/>
          <w:sz w:val="24"/>
        </w:rPr>
        <w:t>材料属性</w:t>
      </w:r>
    </w:p>
    <w:tbl>
      <w:tblPr>
        <w:tblStyle w:val="afd"/>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widowControl/>
              <w:spacing w:lineRule="exact" w:line="400" w:before="0" w:after="0"/>
              <w:ind w:firstLine="535"/>
              <w:jc w:val="center"/>
              <w:rPr>
                <w:rFonts w:ascii="宋体" w:hAnsi="宋体"/>
                <w:sz w:val="24"/>
              </w:rPr>
            </w:pPr>
            <w:r>
              <w:rPr>
                <w:rFonts w:ascii="宋体" w:hAnsi="宋体"/>
                <w:kern w:val="0"/>
                <w:sz w:val="24"/>
                <w:szCs w:val="20"/>
                <w:lang w:val="en-US" w:eastAsia="zh-CN" w:bidi="ar-SA"/>
              </w:rPr>
              <w:t>材料</w:t>
            </w:r>
          </w:p>
        </w:tc>
        <w:tc>
          <w:tcPr>
            <w:tcW w:w="2765" w:type="dxa"/>
            <w:tcBorders>
              <w:left w:val="nil"/>
              <w:right w:val="nil"/>
            </w:tcBorders>
          </w:tcPr>
          <w:p>
            <w:pPr>
              <w:pStyle w:val="Normal"/>
              <w:widowControl/>
              <w:spacing w:lineRule="exact" w:line="400" w:before="0" w:after="0"/>
              <w:ind w:firstLine="535"/>
              <w:jc w:val="center"/>
              <w:rPr>
                <w:rFonts w:ascii="宋体" w:hAnsi="宋体"/>
                <w:sz w:val="24"/>
              </w:rPr>
            </w:pPr>
            <w:r>
              <w:rPr>
                <w:rFonts w:ascii="宋体" w:hAnsi="宋体"/>
                <w:kern w:val="0"/>
                <w:sz w:val="24"/>
                <w:szCs w:val="20"/>
                <w:lang w:val="en-US" w:eastAsia="zh-CN" w:bidi="ar-SA"/>
              </w:rPr>
              <w:t>弹性模量</w:t>
            </w:r>
            <w:r>
              <w:rPr>
                <w:rFonts w:ascii="宋体" w:hAnsi="宋体"/>
                <w:kern w:val="0"/>
                <w:sz w:val="24"/>
                <w:szCs w:val="20"/>
                <w:lang w:val="en-US" w:eastAsia="zh-CN" w:bidi="ar-SA"/>
              </w:rPr>
              <w:t>(</w:t>
            </w:r>
            <w:r>
              <w:rPr>
                <w:kern w:val="0"/>
                <w:sz w:val="24"/>
                <w:szCs w:val="20"/>
                <w:lang w:val="en-US" w:eastAsia="zh-CN" w:bidi="ar-SA"/>
              </w:rPr>
              <w:t>MPa)</w:t>
            </w:r>
          </w:p>
        </w:tc>
        <w:tc>
          <w:tcPr>
            <w:tcW w:w="2766" w:type="dxa"/>
            <w:tcBorders>
              <w:left w:val="nil"/>
              <w:right w:val="nil"/>
            </w:tcBorders>
          </w:tcPr>
          <w:p>
            <w:pPr>
              <w:pStyle w:val="Normal"/>
              <w:widowControl/>
              <w:spacing w:lineRule="exact" w:line="400" w:before="0" w:after="0"/>
              <w:ind w:firstLine="535"/>
              <w:jc w:val="center"/>
              <w:rPr>
                <w:rFonts w:ascii="宋体" w:hAnsi="宋体"/>
                <w:sz w:val="24"/>
              </w:rPr>
            </w:pPr>
            <w:r>
              <w:rPr>
                <w:rFonts w:ascii="宋体" w:hAnsi="宋体"/>
                <w:kern w:val="0"/>
                <w:sz w:val="24"/>
                <w:szCs w:val="20"/>
                <w:lang w:val="en-US" w:eastAsia="zh-CN" w:bidi="ar-SA"/>
              </w:rPr>
              <w:t>泊松比</w:t>
            </w:r>
          </w:p>
        </w:tc>
      </w:tr>
      <w:tr>
        <w:trPr/>
        <w:tc>
          <w:tcPr>
            <w:tcW w:w="2765" w:type="dxa"/>
            <w:tcBorders>
              <w:left w:val="nil"/>
              <w:bottom w:val="nil"/>
              <w:right w:val="nil"/>
            </w:tcBorders>
          </w:tcPr>
          <w:p>
            <w:pPr>
              <w:pStyle w:val="Normal"/>
              <w:widowControl/>
              <w:spacing w:lineRule="auto" w:line="360" w:before="0" w:after="0"/>
              <w:ind w:firstLine="535"/>
              <w:jc w:val="center"/>
              <w:rPr>
                <w:rFonts w:ascii="宋体" w:hAnsi="宋体"/>
                <w:sz w:val="24"/>
              </w:rPr>
            </w:pPr>
            <w:r>
              <w:rPr>
                <w:rFonts w:ascii="宋体" w:hAnsi="宋体"/>
                <w:kern w:val="0"/>
                <w:sz w:val="24"/>
                <w:szCs w:val="20"/>
                <w:lang w:val="en-US" w:eastAsia="zh-CN" w:bidi="ar-SA"/>
              </w:rPr>
              <w:t>牙齿</w:t>
            </w:r>
          </w:p>
          <w:p>
            <w:pPr>
              <w:pStyle w:val="Normal"/>
              <w:widowControl/>
              <w:spacing w:lineRule="auto" w:line="360" w:before="0" w:after="0"/>
              <w:ind w:firstLine="535"/>
              <w:jc w:val="center"/>
              <w:rPr>
                <w:rFonts w:ascii="宋体" w:hAnsi="宋体"/>
                <w:sz w:val="24"/>
              </w:rPr>
            </w:pPr>
            <w:r>
              <w:rPr>
                <w:rFonts w:ascii="宋体" w:hAnsi="宋体"/>
                <w:kern w:val="0"/>
                <w:sz w:val="24"/>
                <w:szCs w:val="20"/>
                <w:lang w:val="en-US" w:eastAsia="zh-CN" w:bidi="ar-SA"/>
              </w:rPr>
              <w:t>牙周膜</w:t>
            </w:r>
          </w:p>
        </w:tc>
        <w:tc>
          <w:tcPr>
            <w:tcW w:w="2765" w:type="dxa"/>
            <w:tcBorders>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18600</w:t>
            </w:r>
          </w:p>
          <w:p>
            <w:pPr>
              <w:pStyle w:val="Normal"/>
              <w:widowControl/>
              <w:spacing w:lineRule="auto" w:line="360" w:before="0" w:after="0"/>
              <w:jc w:val="center"/>
              <w:rPr>
                <w:sz w:val="24"/>
              </w:rPr>
            </w:pPr>
            <w:r>
              <w:rPr>
                <w:kern w:val="0"/>
                <w:sz w:val="24"/>
                <w:szCs w:val="20"/>
                <w:lang w:val="en-US" w:eastAsia="zh-CN" w:bidi="ar-SA"/>
              </w:rPr>
              <w:t>68</w:t>
            </w:r>
          </w:p>
        </w:tc>
        <w:tc>
          <w:tcPr>
            <w:tcW w:w="2766" w:type="dxa"/>
            <w:tcBorders>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0.31</w:t>
            </w:r>
          </w:p>
          <w:p>
            <w:pPr>
              <w:pStyle w:val="Normal"/>
              <w:widowControl/>
              <w:spacing w:lineRule="auto" w:line="360" w:before="0" w:after="0"/>
              <w:jc w:val="center"/>
              <w:rPr>
                <w:sz w:val="24"/>
              </w:rPr>
            </w:pPr>
            <w:r>
              <w:rPr>
                <w:kern w:val="0"/>
                <w:sz w:val="24"/>
                <w:szCs w:val="20"/>
                <w:lang w:val="en-US" w:eastAsia="zh-CN" w:bidi="ar-SA"/>
              </w:rPr>
              <w:t>0.45</w:t>
            </w:r>
          </w:p>
        </w:tc>
      </w:tr>
      <w:tr>
        <w:trPr/>
        <w:tc>
          <w:tcPr>
            <w:tcW w:w="2765" w:type="dxa"/>
            <w:tcBorders>
              <w:top w:val="nil"/>
              <w:left w:val="nil"/>
              <w:bottom w:val="nil"/>
              <w:right w:val="nil"/>
            </w:tcBorders>
          </w:tcPr>
          <w:p>
            <w:pPr>
              <w:pStyle w:val="Normal"/>
              <w:widowControl/>
              <w:spacing w:lineRule="auto" w:line="360" w:before="0" w:after="0"/>
              <w:ind w:firstLine="535"/>
              <w:jc w:val="center"/>
              <w:rPr>
                <w:rFonts w:ascii="宋体" w:hAnsi="宋体"/>
                <w:sz w:val="24"/>
              </w:rPr>
            </w:pPr>
            <w:r>
              <w:rPr>
                <w:rFonts w:ascii="宋体" w:hAnsi="宋体"/>
                <w:kern w:val="0"/>
                <w:sz w:val="24"/>
                <w:szCs w:val="20"/>
                <w:lang w:val="en-US" w:eastAsia="zh-CN" w:bidi="ar-SA"/>
              </w:rPr>
              <w:t>皮质骨</w:t>
            </w:r>
          </w:p>
        </w:tc>
        <w:tc>
          <w:tcPr>
            <w:tcW w:w="2765" w:type="dxa"/>
            <w:tcBorders>
              <w:top w:val="nil"/>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13700</w:t>
            </w:r>
          </w:p>
        </w:tc>
        <w:tc>
          <w:tcPr>
            <w:tcW w:w="2766" w:type="dxa"/>
            <w:tcBorders>
              <w:top w:val="nil"/>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0.3</w:t>
            </w:r>
          </w:p>
        </w:tc>
      </w:tr>
      <w:tr>
        <w:trPr/>
        <w:tc>
          <w:tcPr>
            <w:tcW w:w="2765" w:type="dxa"/>
            <w:tcBorders>
              <w:top w:val="nil"/>
              <w:left w:val="nil"/>
              <w:bottom w:val="nil"/>
              <w:right w:val="nil"/>
            </w:tcBorders>
          </w:tcPr>
          <w:p>
            <w:pPr>
              <w:pStyle w:val="Normal"/>
              <w:widowControl/>
              <w:spacing w:lineRule="auto" w:line="360" w:before="0" w:after="0"/>
              <w:ind w:firstLine="535"/>
              <w:jc w:val="center"/>
              <w:rPr>
                <w:rFonts w:ascii="宋体" w:hAnsi="宋体"/>
                <w:sz w:val="24"/>
              </w:rPr>
            </w:pPr>
            <w:r>
              <w:rPr>
                <w:rFonts w:ascii="宋体" w:hAnsi="宋体"/>
                <w:kern w:val="0"/>
                <w:sz w:val="24"/>
                <w:szCs w:val="20"/>
                <w:lang w:val="en-US" w:eastAsia="zh-CN" w:bidi="ar-SA"/>
              </w:rPr>
              <w:t>松质骨</w:t>
            </w:r>
          </w:p>
        </w:tc>
        <w:tc>
          <w:tcPr>
            <w:tcW w:w="2765" w:type="dxa"/>
            <w:tcBorders>
              <w:top w:val="nil"/>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1370</w:t>
            </w:r>
          </w:p>
        </w:tc>
        <w:tc>
          <w:tcPr>
            <w:tcW w:w="2766" w:type="dxa"/>
            <w:tcBorders>
              <w:top w:val="nil"/>
              <w:left w:val="nil"/>
              <w:bottom w:val="nil"/>
              <w:right w:val="nil"/>
            </w:tcBorders>
          </w:tcPr>
          <w:p>
            <w:pPr>
              <w:pStyle w:val="Normal"/>
              <w:widowControl/>
              <w:spacing w:lineRule="auto" w:line="360" w:before="0" w:after="0"/>
              <w:jc w:val="center"/>
              <w:rPr>
                <w:sz w:val="24"/>
              </w:rPr>
            </w:pPr>
            <w:r>
              <w:rPr>
                <w:kern w:val="0"/>
                <w:sz w:val="24"/>
                <w:szCs w:val="20"/>
                <w:lang w:val="en-US" w:eastAsia="zh-CN" w:bidi="ar-SA"/>
              </w:rPr>
              <w:t>0.3</w:t>
            </w:r>
          </w:p>
        </w:tc>
      </w:tr>
      <w:tr>
        <w:trPr/>
        <w:tc>
          <w:tcPr>
            <w:tcW w:w="2765" w:type="dxa"/>
            <w:tcBorders>
              <w:top w:val="nil"/>
              <w:left w:val="nil"/>
              <w:right w:val="nil"/>
            </w:tcBorders>
          </w:tcPr>
          <w:p>
            <w:pPr>
              <w:pStyle w:val="Normal"/>
              <w:widowControl/>
              <w:spacing w:lineRule="auto" w:line="360" w:before="0" w:after="0"/>
              <w:ind w:firstLine="535"/>
              <w:jc w:val="center"/>
              <w:rPr>
                <w:rFonts w:ascii="宋体" w:hAnsi="宋体"/>
                <w:sz w:val="24"/>
              </w:rPr>
            </w:pPr>
            <w:r>
              <w:rPr>
                <w:rFonts w:ascii="宋体" w:hAnsi="宋体"/>
                <w:kern w:val="0"/>
                <w:sz w:val="24"/>
                <w:szCs w:val="20"/>
                <w:lang w:val="en-US" w:eastAsia="zh-CN" w:bidi="ar-SA"/>
              </w:rPr>
              <w:t>微钛板</w:t>
            </w:r>
          </w:p>
        </w:tc>
        <w:tc>
          <w:tcPr>
            <w:tcW w:w="2765" w:type="dxa"/>
            <w:tcBorders>
              <w:top w:val="nil"/>
              <w:left w:val="nil"/>
              <w:right w:val="nil"/>
            </w:tcBorders>
          </w:tcPr>
          <w:p>
            <w:pPr>
              <w:pStyle w:val="Normal"/>
              <w:widowControl/>
              <w:spacing w:lineRule="auto" w:line="360" w:before="0" w:after="0"/>
              <w:jc w:val="center"/>
              <w:rPr>
                <w:sz w:val="24"/>
              </w:rPr>
            </w:pPr>
            <w:r>
              <w:rPr>
                <w:kern w:val="0"/>
                <w:sz w:val="24"/>
                <w:szCs w:val="20"/>
                <w:lang w:val="en-US" w:eastAsia="zh-CN" w:bidi="ar-SA"/>
              </w:rPr>
              <w:t>110300</w:t>
            </w:r>
          </w:p>
        </w:tc>
        <w:tc>
          <w:tcPr>
            <w:tcW w:w="2766" w:type="dxa"/>
            <w:tcBorders>
              <w:top w:val="nil"/>
              <w:left w:val="nil"/>
              <w:right w:val="nil"/>
            </w:tcBorders>
          </w:tcPr>
          <w:p>
            <w:pPr>
              <w:pStyle w:val="Normal"/>
              <w:widowControl/>
              <w:spacing w:lineRule="auto" w:line="360" w:before="0" w:after="0"/>
              <w:jc w:val="center"/>
              <w:rPr>
                <w:sz w:val="24"/>
              </w:rPr>
            </w:pPr>
            <w:r>
              <w:rPr>
                <w:kern w:val="0"/>
                <w:sz w:val="24"/>
                <w:szCs w:val="20"/>
                <w:lang w:val="en-US" w:eastAsia="zh-CN" w:bidi="ar-SA"/>
              </w:rPr>
              <w:t>0.31</w:t>
            </w:r>
          </w:p>
        </w:tc>
      </w:tr>
    </w:tbl>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495"/>
        <w:jc w:val="center"/>
        <w:rPr>
          <w:rFonts w:ascii="宋体" w:hAnsi="宋体"/>
          <w:sz w:val="24"/>
        </w:rPr>
      </w:pPr>
      <w:r>
        <w:rPr/>
        <w:drawing>
          <wp:inline distT="0" distB="0" distL="0" distR="0">
            <wp:extent cx="5278120" cy="5363845"/>
            <wp:effectExtent l="0" t="0" r="0" b="0"/>
            <wp:docPr id="3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
                    <pic:cNvPicPr>
                      <a:picLocks noChangeAspect="1" noChangeArrowheads="1"/>
                    </pic:cNvPicPr>
                  </pic:nvPicPr>
                  <pic:blipFill>
                    <a:blip r:embed="rId37"/>
                    <a:stretch>
                      <a:fillRect/>
                    </a:stretch>
                  </pic:blipFill>
                  <pic:spPr bwMode="auto">
                    <a:xfrm>
                      <a:off x="0" y="0"/>
                      <a:ext cx="5278120" cy="5363845"/>
                    </a:xfrm>
                    <a:prstGeom prst="rect">
                      <a:avLst/>
                    </a:prstGeom>
                    <a:noFill/>
                  </pic:spPr>
                </pic:pic>
              </a:graphicData>
            </a:graphic>
          </wp:inline>
        </w:drawing>
      </w:r>
    </w:p>
    <w:p>
      <w:pPr>
        <w:pStyle w:val="Normal"/>
        <w:widowControl/>
        <w:spacing w:lineRule="exact" w:line="400"/>
        <w:ind w:firstLine="535"/>
        <w:jc w:val="center"/>
        <w:rPr>
          <w:rFonts w:ascii="宋体" w:hAnsi="宋体"/>
          <w:sz w:val="24"/>
        </w:rPr>
      </w:pPr>
      <w:r>
        <w:rPr>
          <w:rFonts w:ascii="宋体" w:hAnsi="宋体"/>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drawing>
          <wp:anchor behindDoc="0" distT="0" distB="0" distL="0" distR="0" simplePos="0" locked="0" layoutInCell="0" allowOverlap="1" relativeHeight="57">
            <wp:simplePos x="0" y="0"/>
            <wp:positionH relativeFrom="margin">
              <wp:posOffset>757555</wp:posOffset>
            </wp:positionH>
            <wp:positionV relativeFrom="paragraph">
              <wp:posOffset>-87630</wp:posOffset>
            </wp:positionV>
            <wp:extent cx="3644900" cy="3703955"/>
            <wp:effectExtent l="0" t="0" r="0" b="0"/>
            <wp:wrapNone/>
            <wp:docPr id="32"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7" descr=""/>
                    <pic:cNvPicPr>
                      <a:picLocks noChangeAspect="1" noChangeArrowheads="1"/>
                    </pic:cNvPicPr>
                  </pic:nvPicPr>
                  <pic:blipFill>
                    <a:blip r:embed="rId38"/>
                    <a:stretch>
                      <a:fillRect/>
                    </a:stretch>
                  </pic:blipFill>
                  <pic:spPr bwMode="auto">
                    <a:xfrm>
                      <a:off x="0" y="0"/>
                      <a:ext cx="3644900" cy="3703955"/>
                    </a:xfrm>
                    <a:prstGeom prst="rect">
                      <a:avLst/>
                    </a:prstGeom>
                    <a:noFill/>
                  </pic:spPr>
                </pic:pic>
              </a:graphicData>
            </a:graphic>
          </wp:anchor>
        </w:drawing>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BodyText"/>
        <w:jc w:val="center"/>
        <w:rPr>
          <w:rFonts w:ascii="宋体" w:hAnsi="宋体"/>
          <w:sz w:val="24"/>
        </w:rPr>
      </w:pPr>
      <w:bookmarkStart w:id="3" w:name="_Hlk189702495"/>
      <w:r>
        <w:rPr>
          <w:rFonts w:ascii="宋体" w:hAnsi="宋体"/>
          <w:sz w:val="24"/>
        </w:rPr>
        <w:t>图</w:t>
      </w:r>
      <w:r>
        <w:rPr>
          <w:rFonts w:ascii="宋体" w:hAnsi="宋体"/>
          <w:sz w:val="24"/>
        </w:rPr>
        <w:t xml:space="preserve">9 </w:t>
      </w:r>
      <w:r>
        <w:rPr>
          <w:rFonts w:ascii="宋体" w:hAnsi="宋体"/>
          <w:sz w:val="24"/>
        </w:rPr>
        <w:t>边界条件及载荷施加</w:t>
      </w:r>
      <w:bookmarkEnd w:id="3"/>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drawing>
          <wp:inline distT="0" distB="0" distL="0" distR="0">
            <wp:extent cx="5278120" cy="2653030"/>
            <wp:effectExtent l="0" t="0" r="0" b="0"/>
            <wp:docPr id="3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
                    <pic:cNvPicPr>
                      <a:picLocks noChangeAspect="1" noChangeArrowheads="1"/>
                    </pic:cNvPicPr>
                  </pic:nvPicPr>
                  <pic:blipFill>
                    <a:blip r:embed="rId39"/>
                    <a:stretch>
                      <a:fillRect/>
                    </a:stretch>
                  </pic:blipFill>
                  <pic:spPr bwMode="auto">
                    <a:xfrm>
                      <a:off x="0" y="0"/>
                      <a:ext cx="5278120" cy="2653030"/>
                    </a:xfrm>
                    <a:prstGeom prst="rect">
                      <a:avLst/>
                    </a:prstGeom>
                    <a:noFill/>
                  </pic:spPr>
                </pic:pic>
              </a:graphicData>
            </a:graphic>
          </wp:inline>
        </w:drawing>
      </w:r>
    </w:p>
    <w:p>
      <w:pPr>
        <w:pStyle w:val="Normal"/>
        <w:tabs>
          <w:tab w:val="clear" w:pos="420"/>
          <w:tab w:val="left" w:pos="915" w:leader="none"/>
        </w:tabs>
        <w:rPr>
          <w:sz w:val="24"/>
        </w:rPr>
      </w:pPr>
      <w:r>
        <w:rPr>
          <w:sz w:val="24"/>
        </w:rPr>
      </w:r>
    </w:p>
    <w:p>
      <w:pPr>
        <w:pStyle w:val="BodyText"/>
        <w:jc w:val="center"/>
        <w:rPr>
          <w:rFonts w:ascii="宋体" w:hAnsi="宋体"/>
          <w:sz w:val="24"/>
        </w:rPr>
      </w:pPr>
      <w:r>
        <w:rPr>
          <w:rFonts w:ascii="宋体" w:hAnsi="宋体"/>
          <w:sz w:val="24"/>
        </w:rPr>
        <w:t>A</w:t>
      </w:r>
      <w:r>
        <w:rPr>
          <w:rFonts w:ascii="宋体" w:hAnsi="宋体"/>
          <w:sz w:val="24"/>
        </w:rPr>
        <w:t xml:space="preserve">：建立原点坐标 </w:t>
      </w:r>
      <w:r>
        <w:rPr>
          <w:rFonts w:ascii="宋体" w:hAnsi="宋体"/>
          <w:sz w:val="24"/>
        </w:rPr>
        <w:t>B</w:t>
      </w:r>
      <w:r>
        <w:rPr>
          <w:rFonts w:ascii="宋体" w:hAnsi="宋体"/>
          <w:sz w:val="24"/>
        </w:rPr>
        <w:t>：最大相对位移</w:t>
      </w:r>
    </w:p>
    <w:p>
      <w:pPr>
        <w:pStyle w:val="BodyText"/>
        <w:jc w:val="center"/>
        <w:rPr>
          <w:rFonts w:ascii="宋体" w:hAnsi="宋体"/>
          <w:sz w:val="24"/>
        </w:rPr>
      </w:pPr>
      <w:r>
        <w:rPr>
          <w:rFonts w:ascii="宋体" w:hAnsi="宋体"/>
          <w:sz w:val="24"/>
        </w:rPr>
        <w:t>图</w:t>
      </w:r>
      <w:r>
        <w:rPr>
          <w:rFonts w:ascii="宋体" w:hAnsi="宋体"/>
          <w:sz w:val="24"/>
        </w:rPr>
        <w:t xml:space="preserve">10 </w:t>
      </w:r>
      <w:r>
        <w:rPr>
          <w:rFonts w:ascii="宋体" w:hAnsi="宋体"/>
          <w:sz w:val="24"/>
        </w:rPr>
        <w:t>结果判定</w:t>
      </w:r>
    </w:p>
    <w:p>
      <w:pPr>
        <w:sectPr>
          <w:headerReference w:type="default" r:id="rId40"/>
          <w:headerReference w:type="first" r:id="rId41"/>
          <w:footerReference w:type="default" r:id="rId42"/>
          <w:footerReference w:type="first" r:id="rId43"/>
          <w:type w:val="nextPage"/>
          <w:pgSz w:w="11906" w:h="16838"/>
          <w:pgMar w:left="1797" w:right="1797" w:gutter="0" w:header="851" w:top="1440" w:footer="992" w:bottom="1440"/>
          <w:pgNumType w:fmt="decimal"/>
          <w:formProt w:val="false"/>
          <w:textDirection w:val="lrTb"/>
          <w:docGrid w:type="linesAndChars" w:linePitch="436" w:charSpace="5324"/>
        </w:sectPr>
        <w:pStyle w:val="Normal"/>
        <w:tabs>
          <w:tab w:val="clear" w:pos="420"/>
          <w:tab w:val="left" w:pos="915" w:leader="none"/>
        </w:tabs>
        <w:rPr>
          <w:sz w:val="24"/>
        </w:rPr>
      </w:pPr>
      <w:r>
        <w:rPr>
          <w:sz w:val="24"/>
        </w:rPr>
      </w:r>
    </w:p>
    <w:p>
      <w:pPr>
        <w:pStyle w:val="Normal"/>
        <w:widowControl/>
        <w:spacing w:lineRule="exact" w:line="400" w:before="240" w:after="240"/>
        <w:jc w:val="center"/>
        <w:rPr>
          <w:rFonts w:eastAsia="黑体"/>
          <w:b/>
          <w:sz w:val="32"/>
          <w:szCs w:val="32"/>
        </w:rPr>
      </w:pPr>
      <w:r>
        <w:rPr>
          <w:rFonts w:eastAsia="黑体"/>
          <w:b/>
          <w:sz w:val="32"/>
          <w:szCs w:val="32"/>
        </w:rPr>
        <w:t>第三章 结果</w:t>
      </w:r>
    </w:p>
    <w:p>
      <w:pPr>
        <w:pStyle w:val="Normal"/>
        <w:ind w:firstLine="480"/>
        <w:rPr>
          <w:rFonts w:ascii="宋体" w:hAnsi="宋体"/>
          <w:sz w:val="24"/>
        </w:rPr>
      </w:pPr>
      <w:r>
        <w:rPr>
          <w:rFonts w:ascii="宋体" w:hAnsi="宋体"/>
          <w:sz w:val="24"/>
        </w:rPr>
        <w:t>在两微钛板间距逐渐增加时，相对位移逐渐减少，在间距为</w:t>
      </w:r>
      <w:r>
        <w:rPr>
          <w:sz w:val="24"/>
          <w:lang w:bidi="ar-SA"/>
        </w:rPr>
        <w:t>20mm</w:t>
      </w:r>
      <w:r>
        <w:rPr>
          <w:rFonts w:ascii="宋体" w:hAnsi="宋体"/>
          <w:sz w:val="24"/>
        </w:rPr>
        <w:t>时，相对位移为</w:t>
      </w:r>
      <w:r>
        <w:rPr>
          <w:sz w:val="24"/>
          <w:lang w:bidi="ar-SA"/>
        </w:rPr>
        <w:t>0.105789mm</w:t>
      </w:r>
      <w:r>
        <w:rPr>
          <w:rFonts w:ascii="宋体" w:hAnsi="宋体"/>
          <w:sz w:val="24"/>
        </w:rPr>
        <w:t>可以达到一期愈合的效果（表</w:t>
      </w:r>
      <w:r>
        <w:rPr>
          <w:sz w:val="24"/>
          <w:lang w:bidi="ar-SA"/>
        </w:rPr>
        <w:t>2</w:t>
      </w:r>
      <w:r>
        <w:rPr>
          <w:rFonts w:ascii="宋体" w:hAnsi="宋体"/>
          <w:sz w:val="24"/>
        </w:rPr>
        <w:t>）。</w:t>
      </w:r>
    </w:p>
    <w:p>
      <w:pPr>
        <w:pStyle w:val="Normal"/>
        <w:ind w:firstLine="480"/>
        <w:rPr>
          <w:sz w:val="24"/>
        </w:rPr>
      </w:pPr>
      <w:r>
        <w:rPr>
          <w:sz w:val="24"/>
        </w:rPr>
      </w:r>
    </w:p>
    <w:p>
      <w:pPr>
        <w:pStyle w:val="Normal"/>
        <w:suppressAutoHyphens w:val="true"/>
        <w:ind w:firstLine="840"/>
        <w:jc w:val="center"/>
        <w:rPr>
          <w:rFonts w:ascii="宋体" w:hAnsi="宋体" w:cs="等线"/>
          <w:sz w:val="24"/>
          <w14:ligatures w14:val="standardContextual"/>
        </w:rPr>
      </w:pPr>
      <w:r>
        <w:rPr>
          <w:rFonts w:ascii="宋体" w:hAnsi="宋体" w:cs="等线"/>
          <w:sz w:val="24"/>
          <w14:ligatures w14:val="standardContextual"/>
        </w:rPr>
        <w:t>表</w:t>
      </w:r>
      <w:r>
        <w:rPr>
          <w:rFonts w:cs="等线" w:ascii="宋体" w:hAnsi="宋体"/>
          <w:sz w:val="24"/>
          <w14:ligatures w14:val="standardContextual"/>
        </w:rPr>
        <w:t xml:space="preserve">2 </w:t>
      </w:r>
      <w:r>
        <w:rPr>
          <w:rFonts w:ascii="宋体" w:hAnsi="宋体" w:cs="等线"/>
          <w:sz w:val="24"/>
          <w14:ligatures w14:val="standardContextual"/>
        </w:rPr>
        <w:t>不同微钛板间距的相对位移</w:t>
      </w:r>
    </w:p>
    <w:tbl>
      <w:tblPr>
        <w:tblStyle w:val="14"/>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eastAsia="等线"/>
                <w:sz w:val="20"/>
              </w:rPr>
            </w:pPr>
            <w:r>
              <w:rPr>
                <w:kern w:val="0"/>
                <w:sz w:val="24"/>
                <w:szCs w:val="20"/>
                <w:lang w:val="en-US" w:eastAsia="zh-CN" w:bidi="ar-SA"/>
              </w:rPr>
              <w:t>微钛板间距</w:t>
            </w:r>
            <w:r>
              <w:rPr>
                <w:kern w:val="0"/>
                <w:sz w:val="20"/>
                <w:szCs w:val="20"/>
                <w:lang w:val="en-US" w:eastAsia="zh-CN" w:bidi="ar-SA"/>
              </w:rPr>
              <w:t>（</w:t>
            </w:r>
            <w:r>
              <w:rPr>
                <w:kern w:val="0"/>
                <w:sz w:val="20"/>
                <w:szCs w:val="20"/>
                <w:lang w:val="en-US" w:eastAsia="zh-CN" w:bidi="ar-SA"/>
              </w:rPr>
              <w:t>mm</w:t>
            </w:r>
            <w:r>
              <w:rPr>
                <w:kern w:val="0"/>
                <w:sz w:val="20"/>
                <w:szCs w:val="20"/>
                <w:lang w:val="en-US" w:eastAsia="zh-CN" w:bidi="ar-SA"/>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eastAsia="等线"/>
                <w:sz w:val="20"/>
              </w:rPr>
            </w:pPr>
            <w:r>
              <w:rPr>
                <w:kern w:val="0"/>
                <w:sz w:val="24"/>
                <w:szCs w:val="20"/>
                <w:lang w:val="en-US" w:eastAsia="zh-CN" w:bidi="ar-SA"/>
              </w:rPr>
              <w:t>相对位移</w:t>
            </w:r>
            <w:r>
              <w:rPr>
                <w:kern w:val="0"/>
                <w:sz w:val="20"/>
                <w:szCs w:val="20"/>
                <w:lang w:val="en-US" w:eastAsia="zh-CN" w:bidi="ar-SA"/>
              </w:rPr>
              <w:t>（</w:t>
            </w:r>
            <w:r>
              <w:rPr>
                <w:kern w:val="0"/>
                <w:sz w:val="20"/>
                <w:szCs w:val="20"/>
                <w:lang w:val="en-US" w:eastAsia="zh-CN" w:bidi="ar-SA"/>
              </w:rPr>
              <w:t>mm</w:t>
            </w:r>
            <w:r>
              <w:rPr>
                <w:kern w:val="0"/>
                <w:sz w:val="20"/>
                <w:szCs w:val="20"/>
                <w:lang w:val="en-US" w:eastAsia="zh-CN" w:bidi="ar-SA"/>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rFonts w:eastAsia="等线"/>
                <w:sz w:val="20"/>
              </w:rPr>
            </w:pPr>
            <w:r>
              <w:rPr>
                <w:kern w:val="0"/>
                <w:sz w:val="24"/>
                <w:szCs w:val="20"/>
                <w:lang w:val="en-US" w:eastAsia="zh-CN" w:bidi="ar-SA"/>
              </w:rPr>
              <w:t>评价标准</w:t>
            </w:r>
            <w:r>
              <w:rPr>
                <w:kern w:val="0"/>
                <w:sz w:val="20"/>
                <w:szCs w:val="20"/>
                <w:lang w:val="en-US" w:eastAsia="zh-CN" w:bidi="ar-SA"/>
              </w:rPr>
              <w:t>（</w:t>
            </w:r>
            <w:r>
              <w:rPr>
                <w:kern w:val="0"/>
                <w:sz w:val="20"/>
                <w:szCs w:val="20"/>
                <w:lang w:val="en-US" w:eastAsia="zh-CN" w:bidi="ar-SA"/>
              </w:rPr>
              <w:t>mm</w:t>
            </w:r>
            <w:r>
              <w:rPr>
                <w:kern w:val="0"/>
                <w:sz w:val="20"/>
                <w:szCs w:val="20"/>
                <w:lang w:val="en-US" w:eastAsia="zh-CN" w:bidi="ar-SA"/>
              </w:rPr>
              <w:t>）</w:t>
            </w:r>
          </w:p>
        </w:tc>
      </w:tr>
      <w:tr>
        <w:trPr/>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2</w:t>
            </w:r>
          </w:p>
        </w:tc>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0.46751</w:t>
            </w:r>
          </w:p>
        </w:tc>
        <w:tc>
          <w:tcPr>
            <w:tcW w:w="2766"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0.4395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0.430741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0.39318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0.388731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0.359678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0.347085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0.333203</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0.319047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0.303988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0.28828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0.271427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0.255314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0.231904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0.212232</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0.195081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0.177794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19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0.163164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20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0.147448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21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0.13127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22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0.117397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&lt;0.15</w:t>
            </w:r>
          </w:p>
        </w:tc>
      </w:tr>
      <w:tr>
        <w:trPr/>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23</w:t>
            </w:r>
          </w:p>
        </w:tc>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0.105789</w:t>
            </w:r>
          </w:p>
        </w:tc>
        <w:tc>
          <w:tcPr>
            <w:tcW w:w="2766"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sz w:val="24"/>
              </w:rPr>
            </w:pPr>
            <w:r>
              <w:rPr>
                <w:kern w:val="0"/>
                <w:sz w:val="24"/>
                <w:szCs w:val="20"/>
                <w:lang w:val="en-US" w:eastAsia="zh-CN" w:bidi="ar-SA"/>
              </w:rPr>
              <w:t>&lt;0.15</w:t>
            </w:r>
          </w:p>
        </w:tc>
      </w:tr>
    </w:tbl>
    <w:p>
      <w:pPr>
        <w:sectPr>
          <w:headerReference w:type="default" r:id="rId44"/>
          <w:headerReference w:type="first" r:id="rId45"/>
          <w:footerReference w:type="default" r:id="rId46"/>
          <w:footerReference w:type="first" r:id="rId47"/>
          <w:type w:val="nextPage"/>
          <w:pgSz w:w="11906" w:h="16838"/>
          <w:pgMar w:left="1797" w:right="1797" w:gutter="0" w:header="851" w:top="1440" w:footer="992" w:bottom="1440"/>
          <w:pgNumType w:fmt="decimal"/>
          <w:formProt w:val="false"/>
          <w:textDirection w:val="lrTb"/>
          <w:docGrid w:type="default" w:linePitch="436" w:charSpace="5324"/>
        </w:sectPr>
      </w:pPr>
    </w:p>
    <w:p>
      <w:pPr>
        <w:pStyle w:val="Normal"/>
        <w:widowControl/>
        <w:spacing w:lineRule="exact" w:line="400" w:before="436" w:after="436"/>
        <w:jc w:val="center"/>
        <w:rPr>
          <w:rFonts w:eastAsia="黑体"/>
          <w:b/>
          <w:sz w:val="32"/>
        </w:rPr>
      </w:pPr>
      <w:r>
        <w:rPr>
          <w:rFonts w:eastAsia="黑体"/>
          <w:b/>
          <w:sz w:val="32"/>
          <w:szCs w:val="32"/>
        </w:rPr>
        <w:t>第四章  讨论</w:t>
      </w:r>
    </w:p>
    <w:p>
      <w:pPr>
        <w:pStyle w:val="Normal"/>
        <w:widowControl/>
        <w:spacing w:lineRule="exact" w:line="400"/>
        <w:ind w:firstLine="535"/>
        <w:rPr>
          <w:rFonts w:ascii="宋体" w:hAnsi="宋体"/>
          <w:sz w:val="24"/>
        </w:rPr>
      </w:pPr>
      <w:r>
        <w:rPr>
          <w:rFonts w:ascii="宋体" w:hAnsi="宋体"/>
          <w:sz w:val="24"/>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Normal"/>
        <w:spacing w:lineRule="exact" w:line="400" w:before="240" w:after="240"/>
        <w:rPr>
          <w:rFonts w:ascii="黑体" w:hAnsi="黑体" w:eastAsia="黑体"/>
          <w:bCs/>
          <w:sz w:val="30"/>
          <w:szCs w:val="30"/>
        </w:rPr>
      </w:pPr>
      <w:r>
        <w:rPr>
          <w:rFonts w:eastAsia="黑体" w:ascii="黑体" w:hAnsi="黑体"/>
          <w:bCs/>
          <w:sz w:val="30"/>
          <w:szCs w:val="30"/>
        </w:rPr>
        <w:t>4.1</w:t>
      </w:r>
      <w:r>
        <w:rPr>
          <w:rFonts w:ascii="黑体" w:hAnsi="黑体" w:eastAsia="黑体"/>
          <w:bCs/>
          <w:sz w:val="30"/>
          <w:szCs w:val="30"/>
        </w:rPr>
        <w:t>有限元模型建立</w:t>
      </w:r>
    </w:p>
    <w:p>
      <w:pPr>
        <w:pStyle w:val="Normal"/>
        <w:widowControl/>
        <w:spacing w:lineRule="exact" w:line="400"/>
        <w:ind w:firstLine="535"/>
        <w:rPr>
          <w:rFonts w:ascii="宋体" w:hAnsi="宋体"/>
          <w:sz w:val="24"/>
        </w:rPr>
      </w:pPr>
      <w:r>
        <w:rPr>
          <w:sz w:val="24"/>
          <w:lang w:bidi="ar-SA"/>
        </w:rPr>
        <w:t>Agarwal</w:t>
      </w:r>
      <w:r>
        <w:rPr>
          <w:sz w:val="24"/>
          <w:vertAlign w:val="superscript"/>
          <w:lang w:bidi="ar-SA"/>
        </w:rPr>
        <w:t>[18]</w:t>
      </w:r>
      <w:r>
        <w:rPr>
          <w:rFonts w:ascii="宋体" w:hAnsi="宋体"/>
          <w:sz w:val="24"/>
        </w:rPr>
        <w:t>将下颌升支骨折分为</w:t>
      </w:r>
      <w:r>
        <w:rPr>
          <w:sz w:val="24"/>
          <w:lang w:bidi="ar-SA"/>
        </w:rPr>
        <w:t>5</w:t>
      </w:r>
      <w:r>
        <w:rPr>
          <w:rFonts w:ascii="宋体" w:hAnsi="宋体"/>
          <w:sz w:val="24"/>
        </w:rPr>
        <w:t>个分型，</w:t>
      </w:r>
      <w:r>
        <w:rPr>
          <w:sz w:val="24"/>
          <w:lang w:bidi="ar-SA"/>
        </w:rPr>
        <w:t>Ⅰ</w:t>
      </w:r>
      <w:r>
        <w:rPr>
          <w:rFonts w:ascii="宋体" w:hAnsi="宋体"/>
          <w:sz w:val="24"/>
        </w:rPr>
        <w:t>型</w:t>
      </w:r>
      <w:r>
        <w:rPr>
          <w:sz w:val="24"/>
          <w:lang w:bidi="ar-SA"/>
        </w:rPr>
        <w:t>Ⅱ</w:t>
      </w:r>
      <w:r>
        <w:rPr>
          <w:rFonts w:ascii="宋体" w:hAnsi="宋体"/>
          <w:sz w:val="24"/>
        </w:rPr>
        <w:t>型为垂直型骨折，</w:t>
      </w:r>
      <w:r>
        <w:rPr>
          <w:sz w:val="24"/>
          <w:lang w:bidi="ar-SA"/>
        </w:rPr>
        <w:t>Ⅰ</w:t>
      </w:r>
      <w:r>
        <w:rPr>
          <w:rFonts w:ascii="宋体" w:hAnsi="宋体"/>
          <w:sz w:val="24"/>
        </w:rPr>
        <w:t>型起自乙状切迹至下颌角区，</w:t>
      </w:r>
      <w:r>
        <w:rPr>
          <w:sz w:val="24"/>
          <w:lang w:bidi="ar-SA"/>
        </w:rPr>
        <w:t>Ⅱ</w:t>
      </w:r>
      <w:r>
        <w:rPr>
          <w:rFonts w:ascii="宋体" w:hAnsi="宋体"/>
          <w:sz w:val="24"/>
        </w:rPr>
        <w:t>型为起自喙突至下颌角区；</w:t>
      </w:r>
      <w:r>
        <w:rPr>
          <w:sz w:val="24"/>
          <w:lang w:bidi="ar-SA"/>
        </w:rPr>
        <w:t>Ⅲ</w:t>
      </w:r>
      <w:r>
        <w:rPr>
          <w:rFonts w:ascii="宋体" w:hAnsi="宋体"/>
          <w:sz w:val="24"/>
        </w:rPr>
        <w:t>型为水平型骨折，起自下颌升支前缘至下颌升支后缘；</w:t>
      </w:r>
      <w:r>
        <w:rPr>
          <w:sz w:val="24"/>
          <w:lang w:bidi="ar-SA"/>
        </w:rPr>
        <w:t>Ⅳ</w:t>
      </w:r>
      <w:r>
        <w:rPr>
          <w:rFonts w:ascii="宋体" w:hAnsi="宋体"/>
          <w:sz w:val="24"/>
        </w:rPr>
        <w:t>型为斜型骨折，由下颌升支后缘延伸至下颌骨下缘；</w:t>
      </w:r>
      <w:r>
        <w:rPr>
          <w:sz w:val="24"/>
          <w:lang w:bidi="ar-SA"/>
        </w:rPr>
        <w:t>Ⅴ</w:t>
      </w:r>
      <w:r>
        <w:rPr>
          <w:rFonts w:ascii="宋体" w:hAnsi="宋体"/>
          <w:sz w:val="24"/>
        </w:rPr>
        <w:t>型骨折为粉碎性骨折。其中</w:t>
      </w:r>
      <w:r>
        <w:rPr>
          <w:sz w:val="24"/>
          <w:lang w:bidi="ar-SA"/>
        </w:rPr>
        <w:t>Ⅰ</w:t>
      </w:r>
      <w:r>
        <w:rPr>
          <w:rFonts w:ascii="宋体" w:hAnsi="宋体"/>
          <w:sz w:val="24"/>
        </w:rPr>
        <w:t>型骨折最为常见，约占全部下颌升支骨折分型的</w:t>
      </w:r>
      <w:r>
        <w:rPr>
          <w:sz w:val="24"/>
          <w:lang w:bidi="ar-SA"/>
        </w:rPr>
        <w:t>48.5</w:t>
      </w:r>
      <w:r>
        <w:rPr>
          <w:rFonts w:ascii="宋体" w:hAnsi="宋体"/>
          <w:sz w:val="24"/>
        </w:rPr>
        <w:t>%</w:t>
      </w:r>
      <w:r>
        <w:rPr>
          <w:rFonts w:ascii="宋体" w:hAnsi="宋体"/>
          <w:sz w:val="24"/>
        </w:rPr>
        <w:t>，研究设置为最常见的</w:t>
      </w:r>
      <w:r>
        <w:rPr>
          <w:sz w:val="24"/>
          <w:lang w:bidi="ar-SA"/>
        </w:rPr>
        <w:t>Ⅰ</w:t>
      </w:r>
      <w:r>
        <w:rPr>
          <w:rFonts w:ascii="宋体" w:hAnsi="宋体"/>
          <w:sz w:val="24"/>
        </w:rPr>
        <w:t>型骨折线</w:t>
      </w:r>
      <w:r>
        <w:rPr>
          <w:rFonts w:ascii="宋体" w:hAnsi="宋体"/>
          <w:sz w:val="24"/>
          <w:vertAlign w:val="superscript"/>
        </w:rPr>
        <w:t>[19, 20]</w:t>
      </w:r>
      <w:r>
        <w:rPr>
          <w:rFonts w:ascii="宋体" w:hAnsi="宋体"/>
          <w:sz w:val="24"/>
        </w:rPr>
        <w:t>。</w:t>
      </w:r>
    </w:p>
    <w:p>
      <w:pPr>
        <w:pStyle w:val="Normal"/>
        <w:widowControl/>
        <w:spacing w:lineRule="exact" w:line="400"/>
        <w:ind w:firstLine="535"/>
        <w:rPr>
          <w:rFonts w:ascii="宋体" w:hAnsi="宋体"/>
          <w:sz w:val="24"/>
        </w:rPr>
      </w:pPr>
      <w:r>
        <w:rPr>
          <w:sz w:val="24"/>
          <w:lang w:bidi="ar-SA"/>
        </w:rPr>
        <w:t>ORIF</w:t>
      </w:r>
      <w:r>
        <w:rPr>
          <w:rFonts w:ascii="宋体" w:hAnsi="宋体"/>
          <w:sz w:val="24"/>
        </w:rPr>
        <w:t>是颌面部骨折常用的治疗方式，有可以对骨折进行功能性及解剖性复位；患者可以早期行使功能，便于早期维护口腔卫生等优点。故在临床工作中，选择使用</w:t>
      </w:r>
      <w:r>
        <w:rPr>
          <w:sz w:val="24"/>
          <w:lang w:bidi="ar-SA"/>
        </w:rPr>
        <w:t>ORIF</w:t>
      </w:r>
      <w:r>
        <w:rPr>
          <w:rFonts w:ascii="宋体" w:hAnsi="宋体"/>
          <w:sz w:val="24"/>
        </w:rPr>
        <w:t>手术方法的占比较大</w:t>
      </w:r>
      <w:r>
        <w:rPr>
          <w:rFonts w:ascii="宋体" w:hAnsi="宋体"/>
          <w:sz w:val="24"/>
          <w:vertAlign w:val="superscript"/>
        </w:rPr>
        <w:t>[18]</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因下颌骨解剖结构存在差异，为使本研究具备普遍性，使用采用了平均长度下颌骨，施加咬合力时，文献引用不同牙位的行使咬合功能时，所产生的咬合力不同，如前牙区的咬合力范围为</w:t>
      </w:r>
      <w:r>
        <w:rPr>
          <w:sz w:val="24"/>
          <w:lang w:bidi="ar-SA"/>
        </w:rPr>
        <w:t>100~370N</w:t>
      </w:r>
      <w:r>
        <w:rPr>
          <w:rFonts w:ascii="宋体" w:hAnsi="宋体"/>
          <w:sz w:val="24"/>
        </w:rPr>
        <w:t>，后牙区咬合力范围为</w:t>
      </w:r>
      <w:r>
        <w:rPr>
          <w:sz w:val="24"/>
          <w:lang w:bidi="ar-SA"/>
        </w:rPr>
        <w:t>50-400N</w:t>
      </w:r>
      <w:r>
        <w:rPr>
          <w:sz w:val="24"/>
          <w:vertAlign w:val="superscript"/>
          <w:lang w:bidi="ar-SA"/>
        </w:rPr>
        <w:t>[21]</w:t>
      </w:r>
      <w:r>
        <w:rPr>
          <w:rFonts w:ascii="宋体" w:hAnsi="宋体"/>
          <w:sz w:val="24"/>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sz w:val="24"/>
          <w:lang w:bidi="ar-SA"/>
        </w:rPr>
        <w:t>290N</w:t>
      </w:r>
      <w:r>
        <w:rPr>
          <w:sz w:val="24"/>
          <w:vertAlign w:val="superscript"/>
          <w:lang w:bidi="ar-SA"/>
        </w:rPr>
        <w:t>[22]</w:t>
      </w:r>
      <w:r>
        <w:rPr>
          <w:rFonts w:ascii="宋体" w:hAnsi="宋体"/>
          <w:sz w:val="24"/>
        </w:rPr>
        <w:t>，本研究选取更小的</w:t>
      </w:r>
      <w:r>
        <w:rPr>
          <w:rFonts w:ascii="宋体" w:hAnsi="宋体"/>
          <w:sz w:val="24"/>
        </w:rPr>
        <w:t>230N</w:t>
      </w:r>
      <w:r>
        <w:rPr>
          <w:rFonts w:ascii="宋体" w:hAnsi="宋体"/>
          <w:sz w:val="24"/>
        </w:rPr>
        <w:t>咬合力，来模拟进流食产生的咀嚼力，有研究对两骨折块之间的相对位移与愈合的关系做了动物研究，研究表明，在一期愈合的动物中，最大相对位移为</w:t>
      </w:r>
      <w:r>
        <w:rPr>
          <w:color w:val="FF0000"/>
          <w:sz w:val="24"/>
          <w:lang w:bidi="ar-SA"/>
        </w:rPr>
        <w:t>0.15</w:t>
      </w:r>
      <w:r>
        <w:rPr>
          <w:color w:val="FF0000"/>
          <w:sz w:val="24"/>
          <w:vertAlign w:val="superscript"/>
          <w:lang w:bidi="ar-SA"/>
        </w:rPr>
        <w:t>[29]</w:t>
      </w:r>
      <w:r>
        <w:rPr>
          <w:rFonts w:ascii="宋体" w:hAnsi="宋体"/>
          <w:sz w:val="24"/>
        </w:rPr>
        <w:t>，而其他未一期愈合的动物中，相对位移均超过</w:t>
      </w:r>
      <w:r>
        <w:rPr>
          <w:sz w:val="24"/>
          <w:lang w:bidi="ar-SA"/>
        </w:rPr>
        <w:t>0.15</w:t>
      </w:r>
      <w:r>
        <w:rPr>
          <w:rFonts w:ascii="宋体" w:hAnsi="宋体"/>
          <w:sz w:val="24"/>
        </w:rPr>
        <w:t>，故</w:t>
      </w:r>
      <w:r>
        <w:rPr>
          <w:sz w:val="24"/>
          <w:lang w:bidi="ar-SA"/>
        </w:rPr>
        <w:t>0.15</w:t>
      </w:r>
      <w:r>
        <w:rPr>
          <w:rFonts w:ascii="宋体" w:hAnsi="宋体"/>
          <w:sz w:val="24"/>
        </w:rPr>
        <w:t>的相对位移为一期愈合的临界值，本研究采用了此数值作为判断依据，来判断是否可以达到一期愈合，为量化两骨折块间的最大相对位移，本研究将乙状切迹骨折线处的最高点作为原点，标记在未发生位移前，骨折乙状切迹中心的两点，通过关注在施加载荷之后，这两点之间的直线距离，来判断最大相对位移的距离。</w:t>
      </w:r>
    </w:p>
    <w:p>
      <w:pPr>
        <w:pStyle w:val="Normal"/>
        <w:spacing w:lineRule="exact" w:line="400" w:before="240" w:after="240"/>
        <w:rPr>
          <w:rFonts w:ascii="黑体" w:hAnsi="黑体" w:eastAsia="黑体"/>
          <w:bCs/>
          <w:sz w:val="30"/>
          <w:szCs w:val="30"/>
        </w:rPr>
      </w:pPr>
      <w:r>
        <w:rPr>
          <w:rFonts w:eastAsia="黑体" w:ascii="黑体" w:hAnsi="黑体"/>
          <w:bCs/>
          <w:sz w:val="30"/>
          <w:szCs w:val="30"/>
        </w:rPr>
        <w:t>4.2</w:t>
      </w:r>
      <w:r>
        <w:rPr>
          <w:rFonts w:ascii="黑体" w:hAnsi="黑体" w:eastAsia="黑体"/>
          <w:bCs/>
          <w:sz w:val="30"/>
          <w:szCs w:val="30"/>
        </w:rPr>
        <w:t>微钛版固定位置对稳定性的影响</w:t>
      </w:r>
    </w:p>
    <w:p>
      <w:pPr>
        <w:pStyle w:val="Normal"/>
        <w:widowControl/>
        <w:spacing w:lineRule="exact" w:line="400"/>
        <w:ind w:firstLine="535"/>
        <w:rPr>
          <w:rFonts w:ascii="宋体" w:hAnsi="宋体"/>
          <w:sz w:val="24"/>
        </w:rPr>
      </w:pPr>
      <w:r>
        <w:rPr>
          <w:sz w:val="24"/>
          <w:lang w:bidi="ar-SA"/>
        </w:rPr>
        <w:t>Champy</w:t>
      </w:r>
      <w:r>
        <w:rPr>
          <w:sz w:val="24"/>
          <w:vertAlign w:val="superscript"/>
          <w:lang w:bidi="ar-SA"/>
        </w:rPr>
        <w:t>[23, 24]</w:t>
      </w:r>
      <w:r>
        <w:rPr>
          <w:rFonts w:ascii="宋体" w:hAnsi="宋体"/>
          <w:sz w:val="24"/>
        </w:rPr>
        <w:t>首次提出了下颌角处张力带的概念，即在行使咬合功能时，骨折线上部因为咬合力的原因，会产生较大位移，为张力带，而下部会产生压缩作用，产生位移较小，为压力带，</w:t>
      </w:r>
      <w:r>
        <w:rPr>
          <w:sz w:val="24"/>
          <w:lang w:bidi="ar-SA"/>
        </w:rPr>
        <w:t>Champy</w:t>
      </w:r>
      <w:r>
        <w:rPr>
          <w:rFonts w:ascii="宋体" w:hAnsi="宋体"/>
          <w:sz w:val="24"/>
        </w:rPr>
        <w:t>在其研究中阐述了下颌角骨折的理想固定路线，由于压力带在下颌骨行使咬合功能时会被压缩，所以固定张力带便可达到理想的固定效果。有研究表明</w:t>
      </w:r>
      <w:r>
        <w:rPr>
          <w:rFonts w:ascii="宋体" w:hAnsi="宋体"/>
          <w:sz w:val="24"/>
          <w:vertAlign w:val="superscript"/>
        </w:rPr>
        <w:t>[25]</w:t>
      </w:r>
      <w:r>
        <w:rPr>
          <w:rFonts w:ascii="宋体" w:hAnsi="宋体"/>
          <w:sz w:val="24"/>
        </w:rPr>
        <w:t>，无论是单发的下颌角骨折，还是多发的下颌骨骨折，在下颌角处使用</w:t>
      </w:r>
      <w:r>
        <w:rPr>
          <w:sz w:val="24"/>
          <w:lang w:bidi="ar-SA"/>
        </w:rPr>
        <w:t>Champy</w:t>
      </w:r>
      <w:r>
        <w:rPr>
          <w:rFonts w:ascii="宋体" w:hAnsi="宋体"/>
          <w:sz w:val="24"/>
        </w:rPr>
        <w:t>技术，都能获得满意的固定效果。有学者报道了一例下颌角粉碎性骨折使用</w:t>
      </w:r>
      <w:r>
        <w:rPr>
          <w:sz w:val="24"/>
          <w:lang w:bidi="ar-SA"/>
        </w:rPr>
        <w:t>Champy</w:t>
      </w:r>
      <w:r>
        <w:rPr>
          <w:rFonts w:ascii="宋体" w:hAnsi="宋体"/>
          <w:sz w:val="24"/>
        </w:rPr>
        <w:t>技术固定的病例，术后</w:t>
      </w:r>
      <w:r>
        <w:rPr>
          <w:sz w:val="24"/>
          <w:lang w:bidi="ar-SA"/>
        </w:rPr>
        <w:t>6</w:t>
      </w:r>
      <w:r>
        <w:rPr>
          <w:rFonts w:ascii="宋体" w:hAnsi="宋体"/>
          <w:sz w:val="24"/>
        </w:rPr>
        <w:t>月后咬合关系恢复良好，骨痂已愈合</w:t>
      </w:r>
      <w:r>
        <w:rPr>
          <w:rFonts w:ascii="宋体" w:hAnsi="宋体"/>
          <w:sz w:val="24"/>
          <w:vertAlign w:val="superscript"/>
        </w:rPr>
        <w:t>[26]</w:t>
      </w:r>
      <w:r>
        <w:rPr>
          <w:rFonts w:ascii="宋体" w:hAnsi="宋体"/>
          <w:sz w:val="24"/>
        </w:rPr>
        <w:t>。固定下颌角张力带不仅有良好的预后效果，而且同样有利于术后的美学效果，有研究表明，</w:t>
      </w:r>
      <w:r>
        <w:rPr>
          <w:sz w:val="24"/>
          <w:lang w:bidi="ar-SA"/>
        </w:rPr>
        <w:t>Champy</w:t>
      </w:r>
      <w:r>
        <w:rPr>
          <w:rFonts w:ascii="宋体" w:hAnsi="宋体"/>
          <w:sz w:val="24"/>
        </w:rPr>
        <w:t>技术可以纠正术后的颏下偏移的问题，取得良好的美学效果</w:t>
      </w:r>
      <w:r>
        <w:rPr>
          <w:rFonts w:ascii="宋体" w:hAnsi="宋体"/>
          <w:sz w:val="24"/>
          <w:vertAlign w:val="superscript"/>
        </w:rPr>
        <w:t>[27]</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综上所述，</w:t>
      </w:r>
      <w:r>
        <w:rPr>
          <w:sz w:val="24"/>
          <w:lang w:bidi="ar-SA"/>
        </w:rPr>
        <w:t>Champy</w:t>
      </w:r>
      <w:r>
        <w:rPr>
          <w:rFonts w:ascii="宋体" w:hAnsi="宋体"/>
          <w:sz w:val="24"/>
        </w:rPr>
        <w:t>技术的张力带固定理念对下颌角骨折固定效果良好，虽然下颌升支骨折的</w:t>
      </w:r>
      <w:r>
        <w:rPr>
          <w:sz w:val="24"/>
          <w:lang w:bidi="ar-SA"/>
        </w:rPr>
        <w:t>Champy</w:t>
      </w:r>
      <w:r>
        <w:rPr>
          <w:rFonts w:ascii="宋体" w:hAnsi="宋体"/>
          <w:sz w:val="24"/>
        </w:rPr>
        <w:t>技术目前已有丰富的研究成果，但下颌升支骨折的张力带并未有验证，张力带的优秀理念可以引用到下颌升支骨折的固定术中来，下颌升支骨折不同于下颌角骨折，</w:t>
      </w:r>
      <w:r>
        <w:rPr>
          <w:sz w:val="24"/>
          <w:lang w:bidi="ar-SA"/>
        </w:rPr>
        <w:t>Ⅰ</w:t>
      </w:r>
      <w:r>
        <w:rPr>
          <w:rFonts w:ascii="宋体" w:hAnsi="宋体"/>
          <w:sz w:val="24"/>
        </w:rPr>
        <w:t>类下颌升支骨折骨折线线较长，由上至下贯穿整个下颌升支，由文献指出</w:t>
      </w:r>
      <w:r>
        <w:rPr>
          <w:rFonts w:ascii="宋体" w:hAnsi="宋体"/>
          <w:sz w:val="24"/>
          <w:vertAlign w:val="superscript"/>
        </w:rPr>
        <w:t>[18]</w:t>
      </w:r>
      <w:r>
        <w:rPr>
          <w:rFonts w:ascii="宋体" w:hAnsi="宋体"/>
          <w:sz w:val="24"/>
        </w:rPr>
        <w:t>下颌升支骨折需采用两点固定法进行固定，才能达到稳定的固定效果，而在其研究中并未说明两微钛板的具体放置位置及两微钛板的间距选择。本研究设置双微钛板对骨折进行固定，并以两微钛版</w:t>
      </w:r>
      <w:r>
        <w:rPr>
          <w:sz w:val="24"/>
          <w:lang w:bidi="ar-SA"/>
        </w:rPr>
        <w:t>2mm</w:t>
      </w:r>
      <w:r>
        <w:rPr>
          <w:rFonts w:ascii="宋体" w:hAnsi="宋体"/>
          <w:sz w:val="24"/>
        </w:rPr>
        <w:t>间距为初始值，逐渐增加间距。根据本课题组实验所得出的数据，下颌升支</w:t>
      </w:r>
      <w:r>
        <w:rPr>
          <w:sz w:val="24"/>
          <w:lang w:bidi="ar-SA"/>
        </w:rPr>
        <w:t>Ⅰ</w:t>
      </w:r>
      <w:r>
        <w:rPr>
          <w:rFonts w:ascii="宋体" w:hAnsi="宋体"/>
          <w:sz w:val="24"/>
        </w:rPr>
        <w:t>型骨折线在行使咬合功能时，乙状切迹处位移最大，故张力带位于乙状切迹处，而在乙状切迹下位移距离逐渐减小，代表下部为压力带，这与</w:t>
      </w:r>
      <w:r>
        <w:rPr>
          <w:sz w:val="24"/>
          <w:lang w:bidi="ar-SA"/>
        </w:rPr>
        <w:t>Champy</w:t>
      </w:r>
      <w:r>
        <w:rPr>
          <w:rFonts w:ascii="宋体" w:hAnsi="宋体"/>
          <w:sz w:val="24"/>
        </w:rPr>
        <w:t>的张力带概念一致</w:t>
      </w:r>
      <w:r>
        <w:rPr>
          <w:rFonts w:ascii="宋体" w:hAnsi="宋体"/>
          <w:sz w:val="24"/>
          <w:vertAlign w:val="superscript"/>
        </w:rPr>
        <w:t>[23, 24]</w:t>
      </w:r>
      <w:r>
        <w:rPr>
          <w:rFonts w:ascii="宋体" w:hAnsi="宋体"/>
          <w:sz w:val="24"/>
        </w:rPr>
        <w:t>，上部微钛版越接近乙状切迹，即两微钛版之间的距离越大，其稳定效果越好，其原因是固定了张力带，限制了行使咬合功能时的最大位移，故增加了稳定效果。</w:t>
      </w:r>
    </w:p>
    <w:p>
      <w:pPr>
        <w:pStyle w:val="Normal"/>
        <w:spacing w:lineRule="exact" w:line="400" w:before="240" w:after="240"/>
        <w:rPr>
          <w:rFonts w:ascii="黑体" w:hAnsi="黑体" w:eastAsia="黑体"/>
          <w:bCs/>
          <w:sz w:val="30"/>
          <w:szCs w:val="30"/>
        </w:rPr>
      </w:pPr>
      <w:r>
        <w:rPr>
          <w:rFonts w:eastAsia="黑体" w:ascii="黑体" w:hAnsi="黑体"/>
          <w:bCs/>
          <w:sz w:val="30"/>
          <w:szCs w:val="30"/>
        </w:rPr>
        <w:t>4.3</w:t>
      </w:r>
      <w:r>
        <w:rPr>
          <w:rFonts w:ascii="黑体" w:hAnsi="黑体" w:eastAsia="黑体"/>
          <w:bCs/>
          <w:sz w:val="30"/>
          <w:szCs w:val="30"/>
        </w:rPr>
        <w:t>下颌升支骨折愈合</w:t>
      </w:r>
    </w:p>
    <w:p>
      <w:pPr>
        <w:pStyle w:val="Normal"/>
        <w:widowControl/>
        <w:spacing w:lineRule="exact" w:line="400"/>
        <w:ind w:firstLine="535"/>
        <w:rPr>
          <w:rFonts w:ascii="宋体" w:hAnsi="宋体"/>
          <w:sz w:val="24"/>
        </w:rPr>
      </w:pPr>
      <w:r>
        <w:rPr>
          <w:rFonts w:ascii="宋体" w:hAnsi="宋体"/>
          <w:sz w:val="24"/>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rPr>
          <w:rFonts w:ascii="宋体" w:hAnsi="宋体"/>
          <w:sz w:val="24"/>
          <w:vertAlign w:val="superscript"/>
        </w:rPr>
        <w:t>[28]</w:t>
      </w:r>
      <w:r>
        <w:rPr>
          <w:rFonts w:ascii="宋体" w:hAnsi="宋体"/>
          <w:sz w:val="24"/>
        </w:rPr>
        <w:t>。</w:t>
      </w:r>
    </w:p>
    <w:p>
      <w:pPr>
        <w:pStyle w:val="Normal"/>
        <w:widowControl/>
        <w:spacing w:lineRule="exact" w:line="400"/>
        <w:ind w:firstLine="535"/>
        <w:rPr>
          <w:rFonts w:ascii="宋体" w:hAnsi="宋体"/>
          <w:sz w:val="24"/>
        </w:rPr>
      </w:pPr>
      <w:r>
        <w:rPr>
          <w:sz w:val="24"/>
          <w:lang w:bidi="ar-SA"/>
        </w:rPr>
        <w:t>Lutz</w:t>
      </w:r>
      <w:r>
        <w:rPr>
          <w:sz w:val="24"/>
          <w:vertAlign w:val="superscript"/>
          <w:lang w:bidi="ar-SA"/>
        </w:rPr>
        <w:t>[29]</w:t>
      </w:r>
      <w:r>
        <w:rPr>
          <w:rFonts w:ascii="宋体" w:hAnsi="宋体"/>
          <w:sz w:val="24"/>
        </w:rPr>
        <w:t>使用羊的跖骨横行截骨术模拟简单的骨干骨折，并通过可调节的外固定器来控制间隙大小和轴向骨折间隙运动。在其实验中选用了</w:t>
      </w:r>
      <w:r>
        <w:rPr>
          <w:sz w:val="24"/>
          <w:lang w:bidi="ar-SA"/>
        </w:rPr>
        <w:t>42</w:t>
      </w:r>
      <w:r>
        <w:rPr>
          <w:rFonts w:ascii="宋体" w:hAnsi="宋体"/>
          <w:sz w:val="24"/>
        </w:rPr>
        <w:t>只骨骼发育成熟的公羊，设置不同的骨折状态，在</w:t>
      </w:r>
      <w:r>
        <w:rPr>
          <w:sz w:val="24"/>
          <w:lang w:bidi="ar-SA"/>
        </w:rPr>
        <w:t>9</w:t>
      </w:r>
      <w:r>
        <w:rPr>
          <w:rFonts w:ascii="宋体" w:hAnsi="宋体"/>
          <w:sz w:val="24"/>
        </w:rPr>
        <w:t>周后对愈合状态进行评估，其中有以一部分研究使用线性可变位移传感器来监测骨折间隙的运动，即检测相对位移，在观察组</w:t>
      </w:r>
      <w:r>
        <w:rPr>
          <w:sz w:val="24"/>
          <w:lang w:bidi="ar-SA"/>
        </w:rPr>
        <w:t>A</w:t>
      </w:r>
      <w:r>
        <w:rPr>
          <w:rFonts w:ascii="宋体" w:hAnsi="宋体"/>
          <w:sz w:val="24"/>
        </w:rPr>
        <w:t>中，位于第四周时，出现了最大相对位移为</w:t>
      </w:r>
      <w:r>
        <w:rPr>
          <w:sz w:val="24"/>
          <w:lang w:bidi="ar-SA"/>
        </w:rPr>
        <w:t>0.15mm</w:t>
      </w:r>
      <w:r>
        <w:rPr>
          <w:rFonts w:ascii="宋体" w:hAnsi="宋体"/>
          <w:sz w:val="24"/>
        </w:rPr>
        <w:t>，而在所有观察组中，只有</w:t>
      </w:r>
      <w:r>
        <w:rPr>
          <w:sz w:val="24"/>
          <w:lang w:bidi="ar-SA"/>
        </w:rPr>
        <w:t>A</w:t>
      </w:r>
      <w:r>
        <w:rPr>
          <w:rFonts w:ascii="宋体" w:hAnsi="宋体"/>
          <w:sz w:val="24"/>
        </w:rPr>
        <w:t>组在</w:t>
      </w:r>
      <w:r>
        <w:rPr>
          <w:sz w:val="24"/>
          <w:lang w:bidi="ar-SA"/>
        </w:rPr>
        <w:t>9</w:t>
      </w:r>
      <w:r>
        <w:rPr>
          <w:rFonts w:ascii="宋体" w:hAnsi="宋体"/>
          <w:sz w:val="24"/>
        </w:rPr>
        <w:t>周后完成了</w:t>
      </w:r>
      <w:r>
        <w:rPr>
          <w:sz w:val="24"/>
          <w:lang w:bidi="ar-SA"/>
        </w:rPr>
        <w:t>1</w:t>
      </w:r>
      <w:r>
        <w:rPr>
          <w:rFonts w:ascii="宋体" w:hAnsi="宋体"/>
          <w:sz w:val="24"/>
        </w:rPr>
        <w:t>期愈合，其他组均为达到一期愈合的效果，故可以认为，相对位移小于</w:t>
      </w:r>
      <w:r>
        <w:rPr>
          <w:sz w:val="24"/>
          <w:lang w:bidi="ar-SA"/>
        </w:rPr>
        <w:t>0.15mm</w:t>
      </w:r>
      <w:r>
        <w:rPr>
          <w:rFonts w:ascii="宋体" w:hAnsi="宋体"/>
          <w:sz w:val="24"/>
        </w:rPr>
        <w:t>时，骨折可以完成一期愈合。在其他面部骨折的有限元文献中，均使用了此标准作为是否能够一期愈合的标准。</w:t>
      </w:r>
    </w:p>
    <w:p>
      <w:pPr>
        <w:pStyle w:val="Normal"/>
        <w:widowControl/>
        <w:spacing w:lineRule="exact" w:line="400"/>
        <w:ind w:firstLine="535"/>
        <w:rPr>
          <w:rFonts w:ascii="宋体" w:hAnsi="宋体"/>
          <w:sz w:val="24"/>
        </w:rPr>
      </w:pPr>
      <w:r>
        <w:rPr>
          <w:rFonts w:ascii="宋体" w:hAnsi="宋体"/>
          <w:sz w:val="24"/>
        </w:rPr>
        <w:t>本研究的实验结果表明，在两微钛板间距逐渐减少时，最大相对位移距离也逐渐减少，在两微钛板之间的间距为</w:t>
      </w:r>
      <w:r>
        <w:rPr>
          <w:sz w:val="24"/>
          <w:lang w:bidi="ar-SA"/>
        </w:rPr>
        <w:t>20mm</w:t>
      </w:r>
      <w:r>
        <w:rPr>
          <w:rFonts w:ascii="宋体" w:hAnsi="宋体"/>
          <w:sz w:val="24"/>
        </w:rPr>
        <w:t>时，两骨折断端之间的相对位移为</w:t>
      </w:r>
      <w:r>
        <w:rPr>
          <w:sz w:val="24"/>
          <w:lang w:bidi="ar-SA"/>
        </w:rPr>
        <w:t>0.105789mm</w:t>
      </w:r>
      <w:r>
        <w:rPr>
          <w:rFonts w:ascii="宋体" w:hAnsi="宋体"/>
          <w:sz w:val="24"/>
        </w:rPr>
        <w:t>，在临床一期愈合的临界值之内，理论上骨折可以在咬合负载下完成一期愈合。</w:t>
      </w:r>
    </w:p>
    <w:p>
      <w:pPr>
        <w:pStyle w:val="Normal"/>
        <w:spacing w:lineRule="exact" w:line="400" w:before="240" w:after="240"/>
        <w:rPr>
          <w:rFonts w:ascii="黑体" w:hAnsi="黑体" w:eastAsia="黑体"/>
          <w:bCs/>
          <w:sz w:val="30"/>
          <w:szCs w:val="30"/>
        </w:rPr>
      </w:pPr>
      <w:r>
        <w:rPr>
          <w:rFonts w:eastAsia="黑体" w:ascii="黑体" w:hAnsi="黑体"/>
          <w:bCs/>
          <w:sz w:val="30"/>
          <w:szCs w:val="30"/>
        </w:rPr>
        <w:t>4.4</w:t>
      </w:r>
      <w:r>
        <w:rPr>
          <w:rFonts w:ascii="黑体" w:hAnsi="黑体" w:eastAsia="黑体"/>
          <w:bCs/>
          <w:sz w:val="30"/>
          <w:szCs w:val="30"/>
        </w:rPr>
        <w:t>手术入路的选择</w:t>
      </w:r>
    </w:p>
    <w:p>
      <w:pPr>
        <w:pStyle w:val="Normal"/>
        <w:widowControl/>
        <w:spacing w:lineRule="exact" w:line="400"/>
        <w:ind w:firstLine="535"/>
        <w:rPr>
          <w:rFonts w:ascii="宋体" w:hAnsi="宋体"/>
          <w:sz w:val="24"/>
        </w:rPr>
      </w:pPr>
      <w:r>
        <w:rPr>
          <w:rFonts w:ascii="宋体" w:hAnsi="宋体"/>
          <w:sz w:val="24"/>
        </w:rPr>
        <w:t>随着外科技术的发展，切开复位内固定术的出现，骨折的愈合效果基本得到保障，发展至今，对于手术入路的讨论已经成为了关注的焦点。</w:t>
      </w:r>
    </w:p>
    <w:p>
      <w:pPr>
        <w:pStyle w:val="Normal"/>
        <w:widowControl/>
        <w:spacing w:lineRule="exact" w:line="400"/>
        <w:ind w:firstLine="535"/>
        <w:rPr>
          <w:rFonts w:ascii="宋体" w:hAnsi="宋体"/>
          <w:color w:val="FF0000"/>
          <w:sz w:val="24"/>
        </w:rPr>
      </w:pPr>
      <w:r>
        <w:rPr>
          <w:rFonts w:ascii="宋体" w:hAnsi="宋体"/>
          <w:sz w:val="24"/>
        </w:rPr>
        <w:t xml:space="preserve">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p>
    <w:p>
      <w:pPr>
        <w:pStyle w:val="Normal"/>
        <w:widowControl/>
        <w:spacing w:lineRule="exact" w:line="400"/>
        <w:ind w:firstLine="535"/>
        <w:rPr>
          <w:rFonts w:ascii="宋体" w:hAnsi="宋体"/>
          <w:sz w:val="24"/>
        </w:rPr>
      </w:pPr>
      <w:r>
        <w:rPr>
          <w:rFonts w:ascii="宋体" w:hAnsi="宋体"/>
          <w:sz w:val="24"/>
        </w:rPr>
        <w:t>目前对下颌升支骨折手术入路选择的研究较少，入路方式尚未明确，因需固定乙状切迹处，乙状切迹位置较高，邻近髁突位置，故可将髁突骨折的手术入路方法引用到下颌升支骨折中来。</w:t>
      </w:r>
    </w:p>
    <w:p>
      <w:pPr>
        <w:pStyle w:val="Normal"/>
        <w:widowControl/>
        <w:spacing w:lineRule="exact" w:line="400"/>
        <w:ind w:firstLine="535"/>
        <w:rPr>
          <w:rFonts w:ascii="宋体" w:hAnsi="宋体"/>
          <w:sz w:val="24"/>
        </w:rPr>
      </w:pPr>
      <w:r>
        <w:rPr>
          <w:rFonts w:ascii="宋体" w:hAnsi="宋体"/>
          <w:sz w:val="24"/>
        </w:rPr>
        <w:t>下颌升支骨折的治疗中，可以选择多种手术入路，如下</w:t>
      </w:r>
      <w:r>
        <w:rPr>
          <w:sz w:val="24"/>
          <w:lang w:bidi="ar-SA"/>
        </w:rPr>
        <w:t>Risdon</w:t>
      </w:r>
      <w:r>
        <w:rPr>
          <w:rFonts w:ascii="宋体" w:hAnsi="宋体"/>
          <w:sz w:val="24"/>
        </w:rPr>
        <w:t>入路，下颌后入路</w:t>
      </w:r>
      <w:r>
        <w:rPr>
          <w:rFonts w:ascii="宋体" w:hAnsi="宋体"/>
          <w:sz w:val="24"/>
          <w:vertAlign w:val="superscript"/>
        </w:rPr>
        <w:t>[18]</w:t>
      </w:r>
      <w:r>
        <w:rPr>
          <w:rFonts w:ascii="宋体" w:hAnsi="宋体"/>
          <w:sz w:val="24"/>
        </w:rPr>
        <w:t>。</w:t>
      </w:r>
      <w:r>
        <w:rPr>
          <w:sz w:val="24"/>
          <w:lang w:bidi="ar-SA"/>
        </w:rPr>
        <w:t>Hinds</w:t>
      </w:r>
      <w:r>
        <w:rPr>
          <w:sz w:val="24"/>
          <w:vertAlign w:val="superscript"/>
          <w:lang w:bidi="ar-SA"/>
        </w:rPr>
        <w:t>[30]</w:t>
      </w:r>
      <w:r>
        <w:rPr>
          <w:rFonts w:ascii="宋体" w:hAnsi="宋体"/>
          <w:sz w:val="24"/>
        </w:rPr>
        <w:t>在</w:t>
      </w:r>
      <w:r>
        <w:rPr>
          <w:sz w:val="24"/>
          <w:lang w:bidi="ar-SA"/>
        </w:rPr>
        <w:t>1967</w:t>
      </w:r>
      <w:r>
        <w:rPr>
          <w:rFonts w:ascii="宋体" w:hAnsi="宋体"/>
          <w:sz w:val="24"/>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sz w:val="24"/>
          <w:lang w:bidi="ar-SA"/>
        </w:rPr>
        <w:t>38%-40%</w:t>
      </w:r>
      <w:r>
        <w:rPr>
          <w:rFonts w:ascii="宋体" w:hAnsi="宋体"/>
          <w:sz w:val="24"/>
        </w:rPr>
        <w:t>，并有</w:t>
      </w:r>
      <w:r>
        <w:rPr>
          <w:sz w:val="24"/>
          <w:lang w:bidi="ar-SA"/>
        </w:rPr>
        <w:t>1%</w:t>
      </w:r>
      <w:r>
        <w:rPr>
          <w:rFonts w:ascii="宋体" w:hAnsi="宋体"/>
          <w:sz w:val="24"/>
        </w:rPr>
        <w:t>的病例会出现永久性面神经损伤的情况</w:t>
      </w:r>
      <w:r>
        <w:rPr>
          <w:rFonts w:ascii="宋体" w:hAnsi="宋体"/>
          <w:sz w:val="24"/>
          <w:vertAlign w:val="superscript"/>
        </w:rPr>
        <w:t>[31]</w:t>
      </w:r>
      <w:r>
        <w:rPr>
          <w:rFonts w:ascii="宋体" w:hAnsi="宋体"/>
          <w:sz w:val="24"/>
        </w:rPr>
        <w:t>。</w:t>
      </w:r>
      <w:r>
        <w:rPr>
          <w:sz w:val="24"/>
          <w:lang w:bidi="ar-SA"/>
        </w:rPr>
        <w:t>Risdon</w:t>
      </w:r>
      <w:r>
        <w:rPr>
          <w:sz w:val="24"/>
          <w:vertAlign w:val="superscript"/>
          <w:lang w:bidi="ar-SA"/>
        </w:rPr>
        <w:t>[32]</w:t>
      </w:r>
      <w:r>
        <w:rPr>
          <w:rFonts w:ascii="宋体" w:hAnsi="宋体"/>
          <w:sz w:val="24"/>
        </w:rPr>
        <w:t>首次描述了</w:t>
      </w:r>
      <w:r>
        <w:rPr>
          <w:sz w:val="24"/>
          <w:lang w:bidi="ar-SA"/>
        </w:rPr>
        <w:t>Risdon</w:t>
      </w:r>
      <w:r>
        <w:rPr>
          <w:rFonts w:ascii="宋体" w:hAnsi="宋体"/>
          <w:sz w:val="24"/>
        </w:rPr>
        <w:t>入路，后被</w:t>
      </w:r>
      <w:r>
        <w:rPr>
          <w:sz w:val="24"/>
          <w:lang w:bidi="ar-SA"/>
        </w:rPr>
        <w:t>Meyer</w:t>
      </w:r>
      <w:r>
        <w:rPr>
          <w:sz w:val="24"/>
          <w:vertAlign w:val="superscript"/>
          <w:lang w:bidi="ar-SA"/>
        </w:rPr>
        <w:t>[33]</w:t>
      </w:r>
      <w:r>
        <w:rPr>
          <w:rFonts w:ascii="宋体" w:hAnsi="宋体"/>
          <w:sz w:val="24"/>
        </w:rPr>
        <w:t>改良。此入路方式切口更加隐蔽，且不容易出现神经损伤的症状。</w:t>
      </w:r>
      <w:r>
        <w:rPr>
          <w:sz w:val="24"/>
          <w:lang w:bidi="ar-SA"/>
        </w:rPr>
        <w:t>Prabhu</w:t>
      </w:r>
      <w:r>
        <w:rPr>
          <w:sz w:val="24"/>
          <w:vertAlign w:val="superscript"/>
          <w:lang w:bidi="ar-SA"/>
        </w:rPr>
        <w:t>[34]</w:t>
      </w:r>
      <w:r>
        <w:rPr>
          <w:rFonts w:ascii="宋体" w:hAnsi="宋体"/>
          <w:sz w:val="24"/>
        </w:rPr>
        <w:t>发现使用</w:t>
      </w:r>
      <w:r>
        <w:rPr>
          <w:sz w:val="24"/>
          <w:lang w:bidi="ar-SA"/>
        </w:rPr>
        <w:t>Risdon</w:t>
      </w:r>
      <w:r>
        <w:rPr>
          <w:rFonts w:ascii="宋体" w:hAnsi="宋体"/>
          <w:sz w:val="24"/>
        </w:rPr>
        <w:t>入路方法时，仅有</w:t>
      </w:r>
      <w:r>
        <w:rPr>
          <w:sz w:val="24"/>
          <w:lang w:bidi="ar-SA"/>
        </w:rPr>
        <w:t>16.6%</w:t>
      </w:r>
      <w:r>
        <w:rPr>
          <w:rFonts w:ascii="宋体" w:hAnsi="宋体"/>
          <w:sz w:val="24"/>
        </w:rPr>
        <w:t>的病例出现了神经损伤的症状，</w:t>
      </w:r>
      <w:r>
        <w:rPr>
          <w:sz w:val="24"/>
          <w:lang w:bidi="ar-SA"/>
        </w:rPr>
        <w:t>Mehra</w:t>
      </w:r>
      <w:r>
        <w:rPr>
          <w:sz w:val="24"/>
          <w:vertAlign w:val="superscript"/>
          <w:lang w:bidi="ar-SA"/>
        </w:rPr>
        <w:t>[35]</w:t>
      </w:r>
      <w:r>
        <w:rPr>
          <w:rFonts w:ascii="宋体" w:hAnsi="宋体"/>
          <w:sz w:val="24"/>
        </w:rPr>
        <w:t>同样选择</w:t>
      </w:r>
      <w:r>
        <w:rPr>
          <w:sz w:val="24"/>
          <w:lang w:bidi="ar-SA"/>
        </w:rPr>
        <w:t>Risdon</w:t>
      </w:r>
      <w:r>
        <w:rPr>
          <w:rFonts w:ascii="宋体" w:hAnsi="宋体"/>
          <w:sz w:val="24"/>
        </w:rPr>
        <w:t>入路设计治疗下颌骨骨折，术后发生神经损伤的病例为</w:t>
      </w:r>
      <w:r>
        <w:rPr>
          <w:sz w:val="24"/>
          <w:lang w:bidi="ar-SA"/>
        </w:rPr>
        <w:t>23%</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由此可见，</w:t>
      </w:r>
      <w:r>
        <w:rPr>
          <w:sz w:val="24"/>
          <w:lang w:bidi="ar-SA"/>
        </w:rPr>
        <w:t>Risdom</w:t>
      </w:r>
      <w:r>
        <w:rPr>
          <w:rFonts w:ascii="宋体" w:hAnsi="宋体"/>
          <w:sz w:val="24"/>
        </w:rPr>
        <w:t>入路的并发症发生率远低于下颌后入路，在临床中从并发症控制的角度选择</w:t>
      </w:r>
      <w:r>
        <w:rPr>
          <w:sz w:val="24"/>
          <w:lang w:bidi="ar-SA"/>
        </w:rPr>
        <w:t>Risom</w:t>
      </w:r>
      <w:r>
        <w:rPr>
          <w:rFonts w:ascii="宋体" w:hAnsi="宋体"/>
          <w:sz w:val="24"/>
        </w:rPr>
        <w:t>具有明显优势。</w:t>
      </w:r>
    </w:p>
    <w:p>
      <w:pPr>
        <w:pStyle w:val="Normal"/>
        <w:widowControl/>
        <w:spacing w:lineRule="exact" w:line="400"/>
        <w:ind w:firstLine="535"/>
        <w:rPr>
          <w:rFonts w:ascii="宋体" w:hAnsi="宋体"/>
          <w:sz w:val="24"/>
        </w:rPr>
      </w:pPr>
      <w:r>
        <w:rPr>
          <w:rFonts w:ascii="宋体" w:hAnsi="宋体"/>
          <w:sz w:val="24"/>
        </w:rPr>
        <w:t>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w:t>
      </w:r>
      <w:r>
        <w:rPr>
          <w:sz w:val="24"/>
          <w:lang w:bidi="ar-SA"/>
        </w:rPr>
        <w:t>Risdon</w:t>
      </w:r>
      <w:r>
        <w:rPr>
          <w:rFonts w:ascii="宋体" w:hAnsi="宋体"/>
          <w:sz w:val="24"/>
        </w:rPr>
        <w:t>入路。从下颌缘支下方的切口入路是</w:t>
      </w:r>
      <w:r>
        <w:rPr>
          <w:sz w:val="24"/>
          <w:lang w:bidi="ar-SA"/>
        </w:rPr>
        <w:t>Risdon</w:t>
      </w:r>
      <w:r>
        <w:rPr>
          <w:rFonts w:ascii="宋体" w:hAnsi="宋体"/>
          <w:sz w:val="24"/>
        </w:rPr>
        <w:t>入路的最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尽管作者进行的解剖研究表明没有神经损伤的风险。</w:t>
      </w:r>
      <w:r>
        <w:rPr>
          <w:sz w:val="24"/>
          <w:lang w:bidi="ar-SA"/>
        </w:rPr>
        <w:t>Risdon</w:t>
      </w:r>
      <w:r>
        <w:rPr>
          <w:rFonts w:ascii="宋体" w:hAnsi="宋体"/>
          <w:sz w:val="24"/>
        </w:rPr>
        <w:t>入路易于学习和操作，几乎不需要学习曲线。下颌缘支的识别非常简单，并且有方法在不识别面神经的情况下提升皮肤肌肉瓣。然而，众所周知，这种入路允许较少地暴露下颌骨升支和髁状突，大多数外科医生都会同意这种入路不足以暴露髁状突骨折。然而，根据我们的经验，通过充分分离附着于下颌骨升支后缘的咬肌，可以通过</w:t>
      </w:r>
      <w:r>
        <w:rPr>
          <w:sz w:val="24"/>
          <w:lang w:bidi="ar-SA"/>
        </w:rPr>
        <w:t>Risdon</w:t>
      </w:r>
      <w:r>
        <w:rPr>
          <w:rFonts w:ascii="宋体" w:hAnsi="宋体"/>
          <w:sz w:val="24"/>
        </w:rPr>
        <w:t xml:space="preserve">入路直接观察、复位和固定所有下颌骨髁状突下骨折。此外，当仅使用 </w:t>
      </w:r>
      <w:r>
        <w:rPr>
          <w:sz w:val="24"/>
          <w:lang w:bidi="ar-SA"/>
        </w:rPr>
        <w:t>Risdon</w:t>
      </w:r>
      <w:r>
        <w:rPr>
          <w:rFonts w:ascii="宋体" w:hAnsi="宋体"/>
          <w:sz w:val="24"/>
        </w:rPr>
        <w:t>入路对下颌颈骨折等较高病变进行开放复位和固定不可能时，通过结合</w:t>
      </w:r>
      <w:r>
        <w:rPr>
          <w:sz w:val="24"/>
          <w:lang w:bidi="ar-SA"/>
        </w:rPr>
        <w:t>Risdon</w:t>
      </w:r>
      <w:r>
        <w:rPr>
          <w:rFonts w:ascii="宋体" w:hAnsi="宋体"/>
          <w:sz w:val="24"/>
        </w:rPr>
        <w:t>入路使用</w:t>
      </w:r>
      <w:r>
        <w:rPr>
          <w:sz w:val="24"/>
          <w:lang w:bidi="ar-SA"/>
        </w:rPr>
        <w:t>Trochar</w:t>
      </w:r>
      <w:r>
        <w:rPr>
          <w:rFonts w:ascii="宋体" w:hAnsi="宋体"/>
          <w:sz w:val="24"/>
        </w:rPr>
        <w:t>可以很好地进行复位。</w:t>
      </w:r>
    </w:p>
    <w:p>
      <w:pPr>
        <w:pStyle w:val="Normal"/>
        <w:widowControl/>
        <w:spacing w:lineRule="exact" w:line="400"/>
        <w:ind w:firstLine="535"/>
        <w:rPr>
          <w:rFonts w:ascii="宋体" w:hAnsi="宋体"/>
          <w:sz w:val="24"/>
        </w:rPr>
      </w:pPr>
      <w:r>
        <w:rPr>
          <w:rFonts w:ascii="宋体" w:hAnsi="宋体"/>
          <w:sz w:val="24"/>
        </w:rPr>
        <w:t>除考虑并发症因素外，暴露视野问题同样应该予以考虑，无论是从感染角度，还是从临床操作便捷性上来讲，</w:t>
      </w:r>
      <w:r>
        <w:rPr>
          <w:sz w:val="24"/>
        </w:rPr>
        <w:t>Risdon</w:t>
      </w:r>
      <w:r>
        <w:rPr>
          <w:rFonts w:ascii="宋体" w:hAnsi="宋体"/>
          <w:sz w:val="24"/>
        </w:rPr>
        <w:t>入路存在一定优势，但也存在一定缺点。因为</w:t>
      </w:r>
      <w:r>
        <w:rPr>
          <w:sz w:val="24"/>
          <w:lang w:bidi="ar-SA"/>
        </w:rPr>
        <w:t>其</w:t>
      </w:r>
      <w:r>
        <w:rPr>
          <w:rFonts w:ascii="宋体" w:hAnsi="宋体"/>
          <w:sz w:val="24"/>
        </w:rPr>
        <w:t>属于低位入路，会出现暴露范围不足的问题，因为如果暴露效果不良，会导致术中无法直视术区，固定困难等问题。</w:t>
      </w:r>
    </w:p>
    <w:p>
      <w:pPr>
        <w:pStyle w:val="Normal"/>
        <w:widowControl/>
        <w:spacing w:lineRule="exact" w:line="400"/>
        <w:ind w:firstLine="535"/>
        <w:rPr>
          <w:rFonts w:ascii="宋体" w:hAnsi="宋体"/>
          <w:sz w:val="24"/>
        </w:rPr>
      </w:pPr>
      <w:r>
        <w:rPr>
          <w:sz w:val="24"/>
          <w:lang w:bidi="ar-SA"/>
        </w:rPr>
        <w:t>Robin</w:t>
      </w:r>
      <w:r>
        <w:rPr>
          <w:rFonts w:ascii="宋体" w:hAnsi="宋体"/>
          <w:sz w:val="24"/>
        </w:rPr>
        <w:t>通过标本解剖对比的方式对改良</w:t>
      </w:r>
      <w:r>
        <w:rPr>
          <w:sz w:val="24"/>
          <w:lang w:bidi="ar-SA"/>
        </w:rPr>
        <w:t>Risdon</w:t>
      </w:r>
      <w:r>
        <w:rPr>
          <w:rFonts w:ascii="宋体" w:hAnsi="宋体"/>
          <w:sz w:val="24"/>
        </w:rPr>
        <w:t>入路和入路 进行对比，主要对比了这两种手术入路对髁突骨折的暴露范围，对</w:t>
      </w:r>
      <w:r>
        <w:rPr>
          <w:sz w:val="24"/>
          <w:lang w:bidi="ar-SA"/>
        </w:rPr>
        <w:t>12</w:t>
      </w:r>
      <w:r>
        <w:rPr>
          <w:rFonts w:ascii="宋体" w:hAnsi="宋体"/>
          <w:sz w:val="24"/>
        </w:rPr>
        <w:t>个头骨标本进行解剖学研究，并设置了</w:t>
      </w:r>
      <w:r>
        <w:rPr>
          <w:sz w:val="24"/>
          <w:lang w:bidi="ar-SA"/>
        </w:rPr>
        <w:t>0</w:t>
      </w:r>
      <w:r>
        <w:rPr>
          <w:sz w:val="24"/>
          <w:lang w:bidi="ar-SA"/>
        </w:rPr>
        <w:t>～</w:t>
      </w:r>
      <w:r>
        <w:rPr>
          <w:sz w:val="24"/>
          <w:lang w:bidi="ar-SA"/>
        </w:rPr>
        <w:t>100</w:t>
      </w:r>
      <w:r>
        <w:rPr>
          <w:rFonts w:ascii="宋体" w:hAnsi="宋体"/>
          <w:sz w:val="24"/>
        </w:rPr>
        <w:t>的综合评分标准来衡量暴露效果及手术时解剖位点的可及性，改良</w:t>
      </w:r>
      <w:r>
        <w:rPr>
          <w:rFonts w:ascii="宋体" w:hAnsi="宋体"/>
          <w:sz w:val="24"/>
        </w:rPr>
        <w:t>Risdon</w:t>
      </w:r>
      <w:r>
        <w:rPr>
          <w:rFonts w:ascii="宋体" w:hAnsi="宋体"/>
          <w:sz w:val="24"/>
        </w:rPr>
        <w:t>入路的平均评分为</w:t>
      </w:r>
      <w:r>
        <w:rPr>
          <w:sz w:val="24"/>
          <w:lang w:bidi="ar-SA"/>
        </w:rPr>
        <w:t>55.88</w:t>
      </w:r>
      <w:r>
        <w:rPr>
          <w:rFonts w:ascii="宋体" w:hAnsi="宋体"/>
          <w:sz w:val="24"/>
        </w:rPr>
        <w:t>，即</w:t>
      </w:r>
      <w:r>
        <w:rPr>
          <w:sz w:val="24"/>
          <w:lang w:bidi="ar-SA"/>
        </w:rPr>
        <w:t>55.88%</w:t>
      </w:r>
      <w:r>
        <w:rPr>
          <w:rFonts w:ascii="宋体" w:hAnsi="宋体"/>
          <w:sz w:val="24"/>
        </w:rPr>
        <w:t>的可及区域与所需区域吻合。经腮腺入路的平均评分为</w:t>
      </w:r>
      <w:r>
        <w:rPr>
          <w:sz w:val="24"/>
          <w:lang w:bidi="ar-SA"/>
        </w:rPr>
        <w:t>91.05</w:t>
      </w:r>
      <w:r>
        <w:rPr>
          <w:rFonts w:ascii="宋体" w:hAnsi="宋体"/>
          <w:sz w:val="24"/>
        </w:rPr>
        <w:t>，即</w:t>
      </w:r>
      <w:r>
        <w:rPr>
          <w:sz w:val="24"/>
          <w:lang w:bidi="ar-SA"/>
        </w:rPr>
        <w:t>91.05%</w:t>
      </w:r>
      <w:r>
        <w:rPr>
          <w:rFonts w:ascii="宋体" w:hAnsi="宋体"/>
          <w:sz w:val="24"/>
        </w:rPr>
        <w:t xml:space="preserve">的可及区域与所需区域吻合。两种技术之间的评分差异具有统计学意义 </w:t>
      </w:r>
      <w:r>
        <w:rPr>
          <w:rFonts w:ascii="宋体" w:hAnsi="宋体"/>
          <w:sz w:val="24"/>
        </w:rPr>
        <w:t>(</w:t>
      </w:r>
      <w:r>
        <w:rPr>
          <w:sz w:val="24"/>
          <w:lang w:bidi="ar-SA"/>
        </w:rPr>
        <w:t>p &lt; 0.001</w:t>
      </w:r>
      <w:r>
        <w:rPr>
          <w:rFonts w:ascii="宋体" w:hAnsi="宋体"/>
          <w:sz w:val="24"/>
        </w:rPr>
        <w:t>)</w:t>
      </w:r>
      <w:r>
        <w:rPr>
          <w:rFonts w:ascii="宋体" w:hAnsi="宋体"/>
          <w:sz w:val="24"/>
        </w:rPr>
        <w:t>经腮腺炎入路在治疗下颌骨髁突下骨折方面似乎更有效，尤其是在治疗高髁突骨折时。与改良</w:t>
      </w:r>
      <w:r>
        <w:rPr>
          <w:sz w:val="24"/>
          <w:lang w:bidi="ar-SA"/>
        </w:rPr>
        <w:t>Risdon</w:t>
      </w:r>
      <w:r>
        <w:rPr>
          <w:rFonts w:ascii="宋体" w:hAnsi="宋体"/>
          <w:sz w:val="24"/>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sz w:val="24"/>
          <w:lang w:bidi="ar-SA"/>
        </w:rPr>
        <w:t>Risdom</w:t>
      </w:r>
      <w:r>
        <w:rPr>
          <w:rFonts w:ascii="宋体" w:hAnsi="宋体"/>
          <w:sz w:val="24"/>
        </w:rPr>
        <w:t>入路，则对暴露髁突基底部位置效果较好，并对并发症发生率的控制效果较好。由此可见，在使用</w:t>
      </w:r>
      <w:r>
        <w:rPr>
          <w:sz w:val="24"/>
          <w:lang w:bidi="ar-SA"/>
        </w:rPr>
        <w:t>Risdom</w:t>
      </w:r>
      <w:r>
        <w:rPr>
          <w:rFonts w:ascii="宋体" w:hAnsi="宋体"/>
          <w:sz w:val="24"/>
        </w:rPr>
        <w:t>入路时，虽然对髁突高位暴露效果较差，但是对髁突基底部暴露效果较好，在解剖位置的角度来讲，同样对乙状切迹下位置的暴露效果同样较好。</w:t>
      </w:r>
    </w:p>
    <w:p>
      <w:pPr>
        <w:pStyle w:val="Normal"/>
        <w:widowControl/>
        <w:spacing w:lineRule="exact" w:line="400"/>
        <w:ind w:firstLine="535"/>
        <w:rPr>
          <w:rFonts w:ascii="宋体" w:hAnsi="宋体"/>
          <w:sz w:val="24"/>
        </w:rPr>
      </w:pPr>
      <w:r>
        <w:rPr>
          <w:rFonts w:ascii="宋体" w:hAnsi="宋体"/>
          <w:sz w:val="24"/>
        </w:rPr>
        <w:t>若想在临床中，获得最大的术后稳定性，根据实验数据，在下颌升支骨折中，需尽量提升两微钛板的距离，在邻近乙状切迹处做固定。</w:t>
      </w:r>
    </w:p>
    <w:p>
      <w:pPr>
        <w:pStyle w:val="Normal"/>
        <w:widowControl/>
        <w:spacing w:lineRule="exact" w:line="400"/>
        <w:ind w:firstLine="535"/>
        <w:rPr>
          <w:rFonts w:ascii="宋体" w:hAnsi="宋体"/>
          <w:sz w:val="24"/>
        </w:rPr>
      </w:pPr>
      <w:r>
        <w:rPr>
          <w:rFonts w:ascii="宋体" w:hAnsi="宋体"/>
          <w:sz w:val="24"/>
        </w:rPr>
        <w:t>在下颌升支骨折中，可能会因为为暴露乙状切迹处而加大切口范围，在既往研究中，有学者使用了下颌后入路，本研究的结果表明，在两微钛板间距为</w:t>
      </w:r>
      <w:r>
        <w:rPr>
          <w:sz w:val="24"/>
          <w:lang w:bidi="ar-SA"/>
        </w:rPr>
        <w:t>20mm</w:t>
      </w:r>
      <w:r>
        <w:rPr>
          <w:rFonts w:ascii="宋体" w:hAnsi="宋体"/>
          <w:sz w:val="24"/>
        </w:rPr>
        <w:t>时，即可达到直接愈合的效果，不必继续提升上部微钛板的高度以增加稳定性，故提示在临床工作中可以使用</w:t>
      </w:r>
      <w:r>
        <w:rPr>
          <w:sz w:val="24"/>
          <w:lang w:bidi="ar-SA"/>
        </w:rPr>
        <w:t>Risdom</w:t>
      </w:r>
      <w:r>
        <w:rPr>
          <w:rFonts w:ascii="宋体" w:hAnsi="宋体"/>
          <w:sz w:val="24"/>
        </w:rPr>
        <w:t>入路，不必加大切口范围至耳朵前，以便于达到减少并发症的目的。</w:t>
      </w:r>
    </w:p>
    <w:p>
      <w:pPr>
        <w:pStyle w:val="Normal"/>
        <w:widowControl/>
        <w:spacing w:lineRule="exact" w:line="400"/>
        <w:ind w:firstLine="535"/>
        <w:rPr>
          <w:rFonts w:ascii="宋体" w:hAnsi="宋体"/>
          <w:sz w:val="24"/>
        </w:rPr>
      </w:pPr>
      <w:r>
        <w:rPr>
          <w:rFonts w:ascii="宋体" w:hAnsi="宋体"/>
          <w:sz w:val="24"/>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Normal"/>
        <w:spacing w:lineRule="exact" w:line="400" w:before="240" w:after="240"/>
        <w:rPr>
          <w:rFonts w:ascii="黑体" w:hAnsi="黑体" w:eastAsia="黑体"/>
          <w:bCs/>
          <w:sz w:val="30"/>
          <w:szCs w:val="30"/>
        </w:rPr>
      </w:pPr>
      <w:r>
        <w:rPr>
          <w:rFonts w:eastAsia="黑体" w:ascii="黑体" w:hAnsi="黑体"/>
          <w:bCs/>
          <w:sz w:val="30"/>
          <w:szCs w:val="30"/>
        </w:rPr>
        <w:t>4</w:t>
      </w:r>
      <w:r>
        <w:rPr>
          <w:rFonts w:ascii="黑体" w:hAnsi="黑体" w:eastAsia="黑体"/>
          <w:bCs/>
          <w:sz w:val="30"/>
          <w:szCs w:val="30"/>
        </w:rPr>
        <w:t>．</w:t>
      </w:r>
      <w:r>
        <w:rPr>
          <w:rFonts w:eastAsia="黑体" w:ascii="黑体" w:hAnsi="黑体"/>
          <w:bCs/>
          <w:sz w:val="30"/>
          <w:szCs w:val="30"/>
        </w:rPr>
        <w:t>5</w:t>
      </w:r>
      <w:r>
        <w:rPr>
          <w:rFonts w:ascii="黑体" w:hAnsi="黑体" w:eastAsia="黑体"/>
          <w:bCs/>
          <w:sz w:val="30"/>
          <w:szCs w:val="30"/>
        </w:rPr>
        <w:t>研究的局限性</w:t>
      </w:r>
    </w:p>
    <w:p>
      <w:pPr>
        <w:pStyle w:val="Normal"/>
        <w:widowControl/>
        <w:spacing w:lineRule="exact" w:line="400"/>
        <w:ind w:firstLine="535"/>
        <w:rPr>
          <w:rFonts w:ascii="宋体" w:hAnsi="宋体"/>
          <w:sz w:val="24"/>
        </w:rPr>
      </w:pPr>
      <w:r>
        <w:rPr>
          <w:rFonts w:ascii="宋体" w:hAnsi="宋体"/>
          <w:sz w:val="24"/>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sz w:val="24"/>
          <w:lang w:bidi="ar-SA"/>
        </w:rPr>
        <w:t>20mm</w:t>
      </w:r>
      <w:r>
        <w:rPr>
          <w:rFonts w:ascii="宋体" w:hAnsi="宋体"/>
          <w:sz w:val="24"/>
        </w:rPr>
        <w:t>时相对位移为</w:t>
      </w:r>
      <w:r>
        <w:rPr>
          <w:sz w:val="24"/>
          <w:lang w:bidi="ar-SA"/>
        </w:rPr>
        <w:t>0.105789mm</w:t>
      </w:r>
      <w:r>
        <w:rPr>
          <w:rFonts w:ascii="宋体" w:hAnsi="宋体"/>
          <w:sz w:val="24"/>
        </w:rPr>
        <w:t>，在临床实际情况下相对位移数值会更小。</w:t>
      </w:r>
    </w:p>
    <w:p>
      <w:pPr>
        <w:sectPr>
          <w:headerReference w:type="default" r:id="rId48"/>
          <w:headerReference w:type="first" r:id="rId49"/>
          <w:footerReference w:type="default" r:id="rId50"/>
          <w:footerReference w:type="first" r:id="rId51"/>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firstLine="535"/>
        <w:rPr>
          <w:rFonts w:ascii="宋体" w:hAnsi="宋体"/>
          <w:sz w:val="24"/>
        </w:rPr>
      </w:pPr>
      <w:r>
        <w:rPr>
          <w:rFonts w:ascii="宋体" w:hAnsi="宋体"/>
          <w:sz w:val="24"/>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Normal"/>
        <w:widowControl/>
        <w:spacing w:lineRule="exact" w:line="420"/>
        <w:ind w:firstLine="697"/>
        <w:jc w:val="left"/>
        <w:rPr>
          <w:rFonts w:eastAsia="黑体"/>
          <w:b/>
          <w:sz w:val="32"/>
          <w:szCs w:val="32"/>
        </w:rPr>
      </w:pPr>
      <w:r>
        <w:rPr>
          <w:rFonts w:eastAsia="黑体"/>
          <w:b/>
          <w:sz w:val="32"/>
          <w:szCs w:val="32"/>
        </w:rPr>
      </w:r>
    </w:p>
    <w:p>
      <w:pPr>
        <w:sectPr>
          <w:headerReference w:type="default" r:id="rId52"/>
          <w:headerReference w:type="first" r:id="rId53"/>
          <w:footerReference w:type="default" r:id="rId54"/>
          <w:footerReference w:type="first" r:id="rId55"/>
          <w:type w:val="nextPage"/>
          <w:pgSz w:w="11906" w:h="16838"/>
          <w:pgMar w:left="1797" w:right="1797" w:gutter="0" w:header="851" w:top="1440" w:footer="992" w:bottom="1440"/>
          <w:pgNumType w:fmt="decimal"/>
          <w:formProt w:val="false"/>
          <w:textDirection w:val="lrTb"/>
          <w:docGrid w:type="linesAndChars" w:linePitch="436" w:charSpace="5324"/>
        </w:sectPr>
      </w:pPr>
    </w:p>
    <w:p>
      <w:pPr>
        <w:pStyle w:val="Normal"/>
        <w:widowControl/>
        <w:spacing w:lineRule="exact" w:line="400" w:before="0" w:after="436"/>
        <w:jc w:val="center"/>
        <w:rPr>
          <w:rFonts w:eastAsia="黑体"/>
          <w:b/>
          <w:sz w:val="32"/>
          <w:szCs w:val="32"/>
        </w:rPr>
      </w:pPr>
      <w:r>
        <w:rPr>
          <w:rFonts w:eastAsia="黑体"/>
          <w:b/>
          <w:sz w:val="32"/>
          <w:szCs w:val="32"/>
        </w:rPr>
        <w:t>结 论</w:t>
      </w:r>
    </w:p>
    <w:p>
      <w:pPr>
        <w:pStyle w:val="Normal"/>
        <w:spacing w:lineRule="exact" w:line="400"/>
        <w:rPr>
          <w:sz w:val="24"/>
        </w:rPr>
      </w:pPr>
      <w:r>
        <w:rPr>
          <w:sz w:val="24"/>
        </w:rPr>
        <w:t>1.</w:t>
      </w:r>
      <w:r>
        <w:rPr>
          <w:sz w:val="24"/>
        </w:rPr>
        <w:t>本研究使用有限元分析的方法，研究双微钛板间距对下颌升支术后稳定性的影响，研究结果表明，双微钛板间距增加时，骨折术后行使咬合功能时相对位移减小，稳定性更高。</w:t>
      </w:r>
    </w:p>
    <w:p>
      <w:pPr>
        <w:pStyle w:val="Normal"/>
        <w:spacing w:lineRule="exact" w:line="400"/>
        <w:rPr>
          <w:sz w:val="24"/>
        </w:rPr>
      </w:pPr>
      <w:r>
        <w:rPr>
          <w:sz w:val="24"/>
        </w:rPr>
        <w:t>2.</w:t>
      </w:r>
      <w:r>
        <w:rPr>
          <w:sz w:val="24"/>
        </w:rPr>
        <w:t>在两微钛板间距为</w:t>
      </w:r>
      <w:r>
        <w:rPr>
          <w:sz w:val="24"/>
        </w:rPr>
        <w:t>20mm</w:t>
      </w:r>
      <w:r>
        <w:rPr>
          <w:sz w:val="24"/>
        </w:rPr>
        <w:t>时，相对位移量小于一期愈合临界值，理论上可以满足一期愈合的条件，可为进一步临床研究提供参考。</w:t>
      </w:r>
    </w:p>
    <w:p>
      <w:pPr>
        <w:pStyle w:val="ListParagraph"/>
        <w:widowControl/>
        <w:spacing w:lineRule="exact" w:line="400"/>
        <w:ind w:hanging="0" w:left="840"/>
        <w:rPr>
          <w:rFonts w:eastAsia="黑体"/>
          <w:b/>
          <w:sz w:val="32"/>
        </w:rPr>
      </w:pPr>
      <w:r>
        <w:rPr>
          <w:rFonts w:eastAsia="黑体"/>
          <w:b/>
          <w:sz w:val="32"/>
        </w:rPr>
      </w:r>
    </w:p>
    <w:p>
      <w:pPr>
        <w:pStyle w:val="ListParagraph"/>
        <w:widowControl/>
        <w:spacing w:lineRule="exact" w:line="400"/>
        <w:ind w:hanging="0" w:left="840"/>
        <w:jc w:val="center"/>
        <w:rPr>
          <w:rFonts w:eastAsia="黑体"/>
          <w:b/>
          <w:sz w:val="32"/>
        </w:rPr>
      </w:pPr>
      <w:r>
        <w:rPr>
          <w:rFonts w:eastAsia="黑体"/>
          <w:b/>
          <w:sz w:val="32"/>
        </w:rPr>
      </w:r>
    </w:p>
    <w:p>
      <w:pPr>
        <w:sectPr>
          <w:type w:val="continuous"/>
          <w:pgSz w:w="11906" w:h="16838"/>
          <w:pgMar w:left="1797" w:right="1797" w:gutter="0" w:header="851" w:top="1440" w:footer="992" w:bottom="1440"/>
          <w:formProt w:val="false"/>
          <w:textDirection w:val="lrTb"/>
          <w:docGrid w:type="linesAndChars" w:linePitch="436" w:charSpace="5324"/>
        </w:sectPr>
      </w:pPr>
    </w:p>
    <w:p>
      <w:pPr>
        <w:pStyle w:val="Normal"/>
        <w:widowControl/>
        <w:spacing w:lineRule="exact" w:line="400" w:before="240" w:after="240"/>
        <w:ind w:firstLine="697"/>
        <w:rPr>
          <w:rFonts w:eastAsia="黑体"/>
          <w:b/>
          <w:sz w:val="32"/>
        </w:rPr>
      </w:pPr>
      <w:r>
        <w:rPr>
          <w:rFonts w:eastAsia="黑体"/>
          <w:b/>
          <w:sz w:val="32"/>
        </w:rPr>
      </w:r>
    </w:p>
    <w:p>
      <w:pPr>
        <w:pStyle w:val="Normal"/>
        <w:widowControl/>
        <w:spacing w:lineRule="exact" w:line="400" w:before="240" w:after="240"/>
        <w:ind w:firstLine="697"/>
        <w:rPr>
          <w:rFonts w:eastAsia="黑体"/>
          <w:b/>
          <w:sz w:val="32"/>
        </w:rPr>
      </w:pPr>
      <w:r>
        <w:rPr>
          <w:rFonts w:eastAsia="黑体"/>
          <w:b/>
          <w:sz w:val="32"/>
        </w:rPr>
      </w:r>
    </w:p>
    <w:p>
      <w:pPr>
        <w:sectPr>
          <w:type w:val="continuous"/>
          <w:pgSz w:w="11906" w:h="16838"/>
          <w:pgMar w:left="1797" w:right="1797" w:gutter="0" w:header="851" w:top="1440" w:footer="992" w:bottom="1440"/>
          <w:formProt w:val="false"/>
          <w:textDirection w:val="lrTb"/>
          <w:docGrid w:type="linesAndChars" w:linePitch="436" w:charSpace="5324"/>
        </w:sectPr>
      </w:pPr>
    </w:p>
    <w:p>
      <w:pPr>
        <w:pStyle w:val="Normal"/>
        <w:widowControl/>
        <w:spacing w:lineRule="exact" w:line="400" w:before="436" w:after="436"/>
        <w:ind w:firstLine="697"/>
        <w:jc w:val="center"/>
        <w:rPr>
          <w:rFonts w:eastAsia="黑体"/>
          <w:b/>
          <w:sz w:val="32"/>
        </w:rPr>
      </w:pPr>
      <w:r>
        <w:rPr>
          <w:rFonts w:eastAsia="黑体"/>
          <w:b/>
          <w:sz w:val="32"/>
        </w:rPr>
      </w:r>
    </w:p>
    <w:p>
      <w:pPr>
        <w:pStyle w:val="Normal"/>
        <w:widowControl/>
        <w:spacing w:lineRule="exact" w:line="400" w:before="436" w:after="436"/>
        <w:jc w:val="center"/>
        <w:rPr>
          <w:b/>
          <w:sz w:val="32"/>
        </w:rPr>
      </w:pPr>
      <w:r>
        <w:rPr>
          <w:rFonts w:eastAsia="黑体"/>
          <w:b/>
          <w:sz w:val="32"/>
        </w:rPr>
        <w:t>参考文献</w:t>
      </w:r>
    </w:p>
    <w:p>
      <w:pPr>
        <w:pStyle w:val="Normal"/>
        <w:spacing w:lineRule="exact" w:line="400"/>
        <w:ind w:hanging="401" w:left="401"/>
        <w:rPr>
          <w:kern w:val="0"/>
          <w:sz w:val="24"/>
        </w:rPr>
      </w:pPr>
      <w:r>
        <w:rPr>
          <w:kern w:val="0"/>
          <w:sz w:val="24"/>
        </w:rPr>
        <w:t>[1] PICKRELL B B, SEREBRAKIAN A T, MARICEVICH R S. Mandible Fractures[J]. Semin Plast Surg, 2017, 31: 100-107.</w:t>
      </w:r>
    </w:p>
    <w:p>
      <w:pPr>
        <w:pStyle w:val="Normal"/>
        <w:spacing w:lineRule="exact" w:line="400"/>
        <w:ind w:hanging="401" w:left="401"/>
        <w:rPr>
          <w:kern w:val="0"/>
          <w:sz w:val="24"/>
        </w:rPr>
      </w:pPr>
      <w:r>
        <w:rPr>
          <w:kern w:val="0"/>
          <w:sz w:val="24"/>
        </w:rPr>
        <w:t>[2] LIN K C, PENG S H, KUO P J, et al. Patterns Associated with Adult Mandibular Fractures in Southern Taiwan-A Cross-Sectional Retrospective Study[J]. Int J Environ Res Public Health, 2017, 14.</w:t>
      </w:r>
    </w:p>
    <w:p>
      <w:pPr>
        <w:pStyle w:val="Normal"/>
        <w:spacing w:lineRule="exact" w:line="400"/>
        <w:ind w:hanging="401" w:left="401"/>
        <w:rPr>
          <w:kern w:val="0"/>
          <w:sz w:val="24"/>
        </w:rPr>
      </w:pPr>
      <w:r>
        <w:rPr>
          <w:kern w:val="0"/>
          <w:sz w:val="24"/>
        </w:rPr>
        <w:t>[3] KOZAKIEWICZ M, WALCZYK A. Current Frequency of Mandibular Condylar Process Fractures[J]. J Clin Med, 2023, 12.</w:t>
      </w:r>
    </w:p>
    <w:p>
      <w:pPr>
        <w:pStyle w:val="Normal"/>
        <w:spacing w:lineRule="exact" w:line="400"/>
        <w:ind w:hanging="401" w:left="401"/>
        <w:rPr>
          <w:kern w:val="0"/>
          <w:sz w:val="24"/>
        </w:rPr>
      </w:pPr>
      <w:r>
        <w:rPr>
          <w:kern w:val="0"/>
          <w:sz w:val="24"/>
        </w:rPr>
        <w:t>[4] PATROCíNIO L G, PATROCíNIO J A, BORBA B H, et al. Mandibular fracture: analysis of 293 patients treated in the Hospital of Clinics, Federal University of Uberlândia[J]. Braz J Otorhinolaryngol, 2005, 71: 560-565.</w:t>
      </w:r>
    </w:p>
    <w:p>
      <w:pPr>
        <w:pStyle w:val="Normal"/>
        <w:spacing w:lineRule="exact" w:line="400"/>
        <w:ind w:hanging="401" w:left="401"/>
        <w:rPr>
          <w:kern w:val="0"/>
          <w:sz w:val="24"/>
        </w:rPr>
      </w:pPr>
      <w:r>
        <w:rPr>
          <w:kern w:val="0"/>
          <w:sz w:val="24"/>
        </w:rPr>
        <w:t>[5] VYAS A, MAZUMDAR U, KHAN F, et al. A study of mandibular fractures over a 5-year period of time: A retrospective study[J]. Contemp Clin Dent, 2014, 5: 452-455.</w:t>
      </w:r>
    </w:p>
    <w:p>
      <w:pPr>
        <w:pStyle w:val="Normal"/>
        <w:spacing w:lineRule="exact" w:line="400"/>
        <w:ind w:hanging="401" w:left="401"/>
        <w:rPr>
          <w:kern w:val="0"/>
          <w:sz w:val="24"/>
        </w:rPr>
      </w:pPr>
      <w:r>
        <w:rPr>
          <w:kern w:val="0"/>
          <w:sz w:val="24"/>
        </w:rPr>
        <w:t>[6] BOOLE J R, HOLTEL M, AMOROSO P, et al. 5196 mandible fractures among 4381 active duty army soldiers, 1980 to 1998[J]. Laryngoscope, 2001, 111: 1691-1696.</w:t>
      </w:r>
    </w:p>
    <w:p>
      <w:pPr>
        <w:pStyle w:val="Normal"/>
        <w:spacing w:lineRule="exact" w:line="400"/>
        <w:ind w:hanging="401" w:left="401"/>
        <w:rPr>
          <w:kern w:val="0"/>
          <w:sz w:val="24"/>
        </w:rPr>
      </w:pPr>
      <w:r>
        <w:rPr>
          <w:kern w:val="0"/>
          <w:sz w:val="24"/>
        </w:rPr>
        <w:t>[7] OLSON R A, FONSECA R J, ZEITLER D L, et al. Fractures of the mandible: a review of 580 cases[J]. J Oral Maxillofac Surg, 1982, 40: 23-28.</w:t>
      </w:r>
    </w:p>
    <w:p>
      <w:pPr>
        <w:pStyle w:val="Normal"/>
        <w:spacing w:lineRule="exact" w:line="400"/>
        <w:ind w:hanging="401" w:left="401"/>
        <w:rPr>
          <w:kern w:val="0"/>
          <w:sz w:val="24"/>
        </w:rPr>
      </w:pPr>
      <w:r>
        <w:rPr>
          <w:kern w:val="0"/>
          <w:sz w:val="24"/>
        </w:rPr>
        <w:t>[8] SUBHASHRAJ K, NANDAKUMAR N, RAVINDRAN C. Review of maxillofacial injuries in Chennai, India: a study of 2748 cases[J]. Br J Oral Maxillofac Surg, 2007, 45: 637-639.</w:t>
      </w:r>
    </w:p>
    <w:p>
      <w:pPr>
        <w:pStyle w:val="Normal"/>
        <w:spacing w:lineRule="exact" w:line="400"/>
        <w:ind w:hanging="401" w:left="401"/>
        <w:rPr>
          <w:kern w:val="0"/>
          <w:sz w:val="24"/>
        </w:rPr>
      </w:pPr>
      <w:r>
        <w:rPr>
          <w:kern w:val="0"/>
          <w:sz w:val="24"/>
        </w:rPr>
        <w:t>[9] ANDREI FLORESCU V, KOFOD T, PINHOLT E M. Intermaxillary Fixation Screw Morbidity in Treatment of Mandibular Fractures-A Retrospective Study[J]. J Oral Maxillofac Surg, 2016, 74: 1800-1806.</w:t>
      </w:r>
    </w:p>
    <w:p>
      <w:pPr>
        <w:pStyle w:val="Normal"/>
        <w:spacing w:lineRule="exact" w:line="400"/>
        <w:ind w:hanging="401" w:left="401"/>
        <w:rPr>
          <w:kern w:val="0"/>
          <w:sz w:val="24"/>
        </w:rPr>
      </w:pPr>
      <w:r>
        <w:rPr>
          <w:kern w:val="0"/>
          <w:sz w:val="24"/>
        </w:rPr>
        <w:t>[10] BARDE D H, MUDHOL A, ALI F M, et al. Efficacy of 3-Dimensional plates over Champys miniplates in mandibular anterior fractures[J]. J Int Oral Health, 2014, 6: 20-26.</w:t>
      </w:r>
    </w:p>
    <w:p>
      <w:pPr>
        <w:pStyle w:val="Normal"/>
        <w:spacing w:lineRule="exact" w:line="400"/>
        <w:ind w:hanging="401" w:left="401"/>
        <w:rPr>
          <w:kern w:val="0"/>
          <w:sz w:val="24"/>
        </w:rPr>
      </w:pPr>
      <w:r>
        <w:rPr>
          <w:kern w:val="0"/>
          <w:sz w:val="24"/>
        </w:rPr>
        <w:t>[11] RUIZ R, SCHLUND M, RAOUL G, et al. Mandibular subcondylar fracture accessibility with transparotid approach by rhytidectomy and modified Risdon approach: An anatomical comparative study[J]. J Craniomaxillofac Surg, 2018, 46: 2256-2260.</w:t>
      </w:r>
    </w:p>
    <w:p>
      <w:pPr>
        <w:pStyle w:val="Normal"/>
        <w:spacing w:lineRule="exact" w:line="400"/>
        <w:ind w:hanging="401" w:left="401"/>
        <w:rPr>
          <w:kern w:val="0"/>
          <w:sz w:val="24"/>
        </w:rPr>
      </w:pPr>
      <w:r>
        <w:rPr>
          <w:kern w:val="0"/>
          <w:sz w:val="24"/>
        </w:rPr>
        <w:t>[12] CARVALHO J S, LOTZ M, RUBI L, et al. Preinterventional Third-Molar Assessment Using Robust Machine Learning[J]. J Dent Res, 2023, 102: 1452-1459.</w:t>
      </w:r>
    </w:p>
    <w:p>
      <w:pPr>
        <w:pStyle w:val="Normal"/>
        <w:spacing w:lineRule="exact" w:line="400"/>
        <w:ind w:hanging="401" w:left="401"/>
        <w:rPr>
          <w:kern w:val="0"/>
          <w:sz w:val="24"/>
        </w:rPr>
      </w:pPr>
      <w:r>
        <w:rPr>
          <w:kern w:val="0"/>
          <w:sz w:val="24"/>
        </w:rPr>
        <w:t>[13] WELCH-PHILLIPS A, GIBBONS D, AHERN D P, et al. What Is Finite Element Analysis?[J]. Clin Spine Surg, 2020, 33: 323-324.</w:t>
      </w:r>
    </w:p>
    <w:p>
      <w:pPr>
        <w:pStyle w:val="Normal"/>
        <w:spacing w:lineRule="exact" w:line="400"/>
        <w:ind w:hanging="401" w:left="401"/>
        <w:rPr>
          <w:kern w:val="0"/>
          <w:sz w:val="24"/>
        </w:rPr>
      </w:pPr>
      <w:r>
        <w:rPr>
          <w:kern w:val="0"/>
          <w:sz w:val="24"/>
        </w:rPr>
        <w:t>[14] FRIEDENBERG R. "Direct analysis" or "finite element analysis" in biology: a new computer approach[J]. Curr Mod Biol, 1969, 3: 89-94.</w:t>
      </w:r>
    </w:p>
    <w:p>
      <w:pPr>
        <w:pStyle w:val="Normal"/>
        <w:spacing w:lineRule="exact" w:line="400"/>
        <w:ind w:hanging="401" w:left="401"/>
        <w:rPr>
          <w:kern w:val="0"/>
          <w:sz w:val="24"/>
        </w:rPr>
      </w:pPr>
      <w:r>
        <w:rPr>
          <w:kern w:val="0"/>
          <w:sz w:val="24"/>
        </w:rPr>
        <w:t>[15] THRESHER R W, SAITO G E. The stress analysis of human teeth[J]. J Biomech, 1973, 6: 443-449.</w:t>
      </w:r>
    </w:p>
    <w:p>
      <w:pPr>
        <w:pStyle w:val="Normal"/>
        <w:spacing w:lineRule="exact" w:line="400"/>
        <w:ind w:hanging="401" w:left="401"/>
        <w:rPr>
          <w:kern w:val="0"/>
          <w:sz w:val="24"/>
        </w:rPr>
      </w:pPr>
      <w:r>
        <w:rPr>
          <w:kern w:val="0"/>
          <w:sz w:val="24"/>
        </w:rPr>
        <w:t>[16] LI Y, LI H, LAI Q, et al. Finite element analysis of 3D-printed personalized titanium plates for mandibular angle fracture[J]. Comput Methods Biomech Biomed Engin, 2023, 26: 78-89.</w:t>
      </w:r>
    </w:p>
    <w:p>
      <w:pPr>
        <w:pStyle w:val="Normal"/>
        <w:spacing w:lineRule="exact" w:line="400"/>
        <w:ind w:hanging="401" w:left="401"/>
        <w:rPr>
          <w:kern w:val="0"/>
          <w:sz w:val="24"/>
        </w:rPr>
      </w:pPr>
      <w:r>
        <w:rPr>
          <w:kern w:val="0"/>
          <w:sz w:val="24"/>
        </w:rPr>
        <w:t>[17] MAINTZ M, MSALLEM B, DE WILD M, et al. Parameter optimization in a finite element mandibular fracture fixation model using the design of experiments approach[J]. J Mech Behav Biomed Mater, 2023, 144: 105948.</w:t>
      </w:r>
    </w:p>
    <w:p>
      <w:pPr>
        <w:pStyle w:val="Normal"/>
        <w:spacing w:lineRule="exact" w:line="400"/>
        <w:ind w:hanging="401" w:left="401"/>
        <w:rPr>
          <w:kern w:val="0"/>
          <w:sz w:val="24"/>
        </w:rPr>
      </w:pPr>
      <w:r>
        <w:rPr>
          <w:kern w:val="0"/>
          <w:sz w:val="24"/>
        </w:rPr>
        <w:t>[18] AGARWAL P, MEHROTRA D. Mandibular Ramus Fractures: A Proposed Classification[J]. Craniomaxillofac Trauma Reconstr, 2020, 13: 9-14.</w:t>
      </w:r>
    </w:p>
    <w:p>
      <w:pPr>
        <w:pStyle w:val="Normal"/>
        <w:spacing w:lineRule="exact" w:line="400"/>
        <w:ind w:hanging="401" w:left="401"/>
        <w:rPr>
          <w:kern w:val="0"/>
          <w:sz w:val="24"/>
        </w:rPr>
      </w:pPr>
      <w:r>
        <w:rPr>
          <w:kern w:val="0"/>
          <w:sz w:val="24"/>
        </w:rPr>
        <w:t>[19] JADHAV A, MUNDADA B, DESHMUKH R, et al. Mandibular Ramus Fracture: An Overview of Rare Anatomical Subsite[J]. Plast Surg Int, 2015, 2015: 954314.</w:t>
      </w:r>
    </w:p>
    <w:p>
      <w:pPr>
        <w:pStyle w:val="Normal"/>
        <w:spacing w:lineRule="exact" w:line="400"/>
        <w:ind w:hanging="401" w:left="401"/>
        <w:rPr>
          <w:kern w:val="0"/>
          <w:sz w:val="24"/>
        </w:rPr>
      </w:pPr>
      <w:r>
        <w:rPr>
          <w:kern w:val="0"/>
          <w:sz w:val="24"/>
        </w:rPr>
        <w:t>[20] KALE T P, KOTRASHETTI S M, LOUIS A, et al. Mandibular ramus fractures: a rarity[J]. J Contemp Dent Pract, 2013, 14: 39-42.</w:t>
      </w:r>
    </w:p>
    <w:p>
      <w:pPr>
        <w:pStyle w:val="Normal"/>
        <w:spacing w:lineRule="exact" w:line="400"/>
        <w:ind w:hanging="401" w:left="401"/>
        <w:rPr>
          <w:kern w:val="0"/>
          <w:sz w:val="24"/>
        </w:rPr>
      </w:pPr>
      <w:r>
        <w:rPr>
          <w:kern w:val="0"/>
          <w:sz w:val="24"/>
        </w:rPr>
        <w:t>[21] PAPHANGKORAKIT J, OSBORN J W. The effect of pressure on a maximum incisal bite force in man[J]. Arch Oral Biol, 1997, 42: 11-17.</w:t>
      </w:r>
    </w:p>
    <w:p>
      <w:pPr>
        <w:pStyle w:val="Normal"/>
        <w:spacing w:lineRule="exact" w:line="400"/>
        <w:ind w:hanging="401" w:left="401"/>
        <w:rPr>
          <w:kern w:val="0"/>
          <w:sz w:val="24"/>
        </w:rPr>
      </w:pPr>
      <w:r>
        <w:rPr>
          <w:kern w:val="0"/>
          <w:sz w:val="24"/>
        </w:rPr>
        <w:t>[22] HAGBERG C. Electromyography and bite force studies of muscular function and dysfunction in masticatory muscles[J]. Swed Dent J Suppl, 1986, 37: 1-64.</w:t>
      </w:r>
    </w:p>
    <w:p>
      <w:pPr>
        <w:pStyle w:val="Normal"/>
        <w:spacing w:lineRule="exact" w:line="400"/>
        <w:ind w:hanging="401" w:left="401"/>
        <w:rPr>
          <w:kern w:val="0"/>
          <w:sz w:val="24"/>
        </w:rPr>
      </w:pPr>
      <w:r>
        <w:rPr>
          <w:kern w:val="0"/>
          <w:sz w:val="24"/>
        </w:rPr>
        <w:t>[23] CHAMPY M, LODDE J P. [Mandibular synthesis. Placement of the synthesis as a function of mandibular stress][J]. Rev Stomatol Chir Maxillofac, 1976, 77: 971-976.</w:t>
      </w:r>
    </w:p>
    <w:p>
      <w:pPr>
        <w:pStyle w:val="Normal"/>
        <w:spacing w:lineRule="exact" w:line="400"/>
        <w:ind w:hanging="401" w:left="401"/>
        <w:rPr>
          <w:kern w:val="0"/>
          <w:sz w:val="24"/>
        </w:rPr>
      </w:pPr>
      <w:r>
        <w:rPr>
          <w:kern w:val="0"/>
          <w:sz w:val="24"/>
        </w:rPr>
        <w:t>[24] CHAMPY M, WILK A, SCHNEBELEN J M. [Tretment of mandibular fractures by means of osteosynthesis without intermaxillary immobilization according to F.X. Michelet's technic][J]. Zahn Mund Kieferheilkd Zentralbl, 1975, 63: 339-341.</w:t>
      </w:r>
    </w:p>
    <w:p>
      <w:pPr>
        <w:pStyle w:val="Normal"/>
        <w:spacing w:lineRule="exact" w:line="400"/>
        <w:ind w:hanging="401" w:left="401"/>
        <w:rPr>
          <w:kern w:val="0"/>
          <w:sz w:val="24"/>
        </w:rPr>
      </w:pPr>
      <w:r>
        <w:rPr>
          <w:kern w:val="0"/>
          <w:sz w:val="24"/>
        </w:rPr>
        <w:t>[25] SAKONG Y, KIM Y H, CHUNG K J. Analysis of Complication in Mandibular Angle Fracture: Champy Technique Versus Rigid Fixation[J]. J Craniofac Surg, 2021, 32: 2732-2735.</w:t>
      </w:r>
    </w:p>
    <w:p>
      <w:pPr>
        <w:pStyle w:val="Normal"/>
        <w:spacing w:lineRule="exact" w:line="400"/>
        <w:ind w:hanging="401" w:left="401"/>
        <w:rPr>
          <w:kern w:val="0"/>
          <w:sz w:val="24"/>
        </w:rPr>
      </w:pPr>
      <w:r>
        <w:rPr>
          <w:kern w:val="0"/>
          <w:sz w:val="24"/>
        </w:rPr>
        <w:t>[26] ZHANG D, LIN Y, LV K. Treatment of Comminuted Mandibular Angle Fractures Using Champy Technique[J]. J Craniofac Surg, 2024.</w:t>
      </w:r>
    </w:p>
    <w:p>
      <w:pPr>
        <w:pStyle w:val="Normal"/>
        <w:spacing w:lineRule="exact" w:line="400"/>
        <w:ind w:hanging="401" w:left="401"/>
        <w:rPr>
          <w:kern w:val="0"/>
          <w:sz w:val="24"/>
        </w:rPr>
      </w:pPr>
      <w:r>
        <w:rPr>
          <w:kern w:val="0"/>
          <w:sz w:val="24"/>
        </w:rPr>
        <w:t>[27] KAPLAN G O, GüNEŞ H, KARAOSMANOĞLU A A, et al. Outcomes and Craniometric Analyses of the Champy Technique in the Treatment of Mandibular Angle Fractures: A Retrospective Study[J]. J Craniofac Surg, 2024.</w:t>
      </w:r>
    </w:p>
    <w:p>
      <w:pPr>
        <w:pStyle w:val="Normal"/>
        <w:spacing w:lineRule="exact" w:line="400"/>
        <w:ind w:hanging="401" w:left="401"/>
        <w:rPr>
          <w:kern w:val="0"/>
          <w:sz w:val="24"/>
        </w:rPr>
      </w:pPr>
      <w:r>
        <w:rPr>
          <w:kern w:val="0"/>
          <w:sz w:val="24"/>
        </w:rPr>
        <w:t>[28] MARSELL R, EINHORN T A. The biology of fracture healing[J]. Injury, 2011, 42: 551-555.</w:t>
      </w:r>
    </w:p>
    <w:p>
      <w:pPr>
        <w:pStyle w:val="Normal"/>
        <w:spacing w:lineRule="exact" w:line="400"/>
        <w:ind w:hanging="401" w:left="401"/>
        <w:rPr>
          <w:kern w:val="0"/>
          <w:sz w:val="24"/>
        </w:rPr>
      </w:pPr>
      <w:r>
        <w:rPr>
          <w:kern w:val="0"/>
          <w:sz w:val="24"/>
        </w:rPr>
        <w:t>[29] CLAES L, AUGAT P, SUGER G, et al. Influence of size and stability of the osteotomy gap on the success of fracture healing[J]. J Orthop Res, 1997, 15: 577-584.</w:t>
      </w:r>
    </w:p>
    <w:p>
      <w:pPr>
        <w:pStyle w:val="Normal"/>
        <w:spacing w:lineRule="exact" w:line="400"/>
        <w:ind w:hanging="401" w:left="401"/>
        <w:rPr>
          <w:kern w:val="0"/>
          <w:sz w:val="24"/>
        </w:rPr>
      </w:pPr>
      <w:r>
        <w:rPr>
          <w:kern w:val="0"/>
          <w:sz w:val="24"/>
        </w:rPr>
        <w:t>[30] HINDS E C, GIROTTI W J. Vertical subcondylar osteotomy: a reappraisal[J]. Oral Surg Oral Med Oral Pathol, 1967, 24: 164-170.</w:t>
      </w:r>
    </w:p>
    <w:p>
      <w:pPr>
        <w:pStyle w:val="Normal"/>
        <w:spacing w:lineRule="exact" w:line="400"/>
        <w:ind w:hanging="401" w:left="401"/>
        <w:rPr>
          <w:kern w:val="0"/>
          <w:sz w:val="24"/>
        </w:rPr>
      </w:pPr>
      <w:r>
        <w:rPr>
          <w:kern w:val="0"/>
          <w:sz w:val="24"/>
        </w:rPr>
        <w:t>[31] MANISALI M, AMIN M, AGHABEIGI B, et al. Retromandibular approach to the mandibular condyle: a clinical and cadaveric study[J]. Int J Oral Maxillofac Surg, 2003, 32: 253-256.</w:t>
      </w:r>
    </w:p>
    <w:p>
      <w:pPr>
        <w:pStyle w:val="Normal"/>
        <w:spacing w:lineRule="exact" w:line="400"/>
        <w:ind w:hanging="401" w:left="401"/>
        <w:rPr>
          <w:kern w:val="0"/>
          <w:sz w:val="24"/>
        </w:rPr>
      </w:pPr>
      <w:r>
        <w:rPr>
          <w:kern w:val="0"/>
          <w:sz w:val="24"/>
        </w:rPr>
        <w:t>[32] RISDON F. The Treatment of Fractures of the Jaws[J]. Can Med Assoc J, 1929, 20: 260-262.</w:t>
      </w:r>
    </w:p>
    <w:p>
      <w:pPr>
        <w:pStyle w:val="Normal"/>
        <w:spacing w:lineRule="exact" w:line="400"/>
        <w:ind w:hanging="401" w:left="401"/>
        <w:rPr>
          <w:kern w:val="0"/>
          <w:sz w:val="24"/>
        </w:rPr>
      </w:pPr>
      <w:r>
        <w:rPr>
          <w:kern w:val="0"/>
          <w:sz w:val="24"/>
        </w:rPr>
        <w:t>[33] MEYER C, ZINK S, WILK A. [Modified Risdon approach for the treatment of subcondylar fractures of the mandible][J]. Rev Stomatol Chir Maxillofac, 2006, 107: 449-454.</w:t>
      </w:r>
    </w:p>
    <w:p>
      <w:pPr>
        <w:pStyle w:val="Normal"/>
        <w:spacing w:lineRule="exact" w:line="400"/>
        <w:ind w:hanging="401" w:left="401"/>
        <w:rPr>
          <w:kern w:val="0"/>
          <w:sz w:val="24"/>
        </w:rPr>
      </w:pPr>
      <w:r>
        <w:rPr>
          <w:kern w:val="0"/>
          <w:sz w:val="24"/>
        </w:rPr>
        <w:t>[34] PRABHU R K, SINHA R, CHOWDHURY S K, et al. Evaluation of facial nerve function following surgical approaches for maxillofacial trauma[J]. Ann Maxillofac Surg, 2012, 2: 36-40.</w:t>
      </w:r>
    </w:p>
    <w:p>
      <w:pPr>
        <w:pStyle w:val="Normal"/>
        <w:spacing w:lineRule="exact" w:line="400"/>
        <w:ind w:hanging="401" w:left="401"/>
        <w:rPr>
          <w:kern w:val="0"/>
          <w:sz w:val="24"/>
        </w:rPr>
      </w:pPr>
      <w:r>
        <w:rPr>
          <w:kern w:val="0"/>
          <w:sz w:val="24"/>
        </w:rPr>
        <w:t>[35] MEHRA P, MURAD H. Internal fixation of mandibular angle fractures: a comparison of 2 techniques[J]. J Oral Maxillofac Surg, 2008, 66: 2254-2260.</w:t>
      </w:r>
    </w:p>
    <w:p>
      <w:pPr>
        <w:sectPr>
          <w:headerReference w:type="default" r:id="rId56"/>
          <w:footerReference w:type="default" r:id="rId57"/>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hanging="535" w:left="535"/>
        <w:rPr>
          <w:color w:val="000000"/>
          <w:sz w:val="24"/>
          <w:shd w:fill="FFFFFF" w:val="clear"/>
        </w:rPr>
      </w:pPr>
      <w:bookmarkStart w:id="4" w:name="_Hlk189831736"/>
      <w:r>
        <w:rPr>
          <w:kern w:val="0"/>
          <w:sz w:val="24"/>
        </w:rPr>
        <w:t>[36] Pawar SS, Bhola ND, Agarwal A. Mandibular Ramus Fractures: A Case Series of Diversity in Rarity[J]. Cureus. 2022,14:30451-30471</w:t>
      </w:r>
      <w:bookmarkEnd w:id="4"/>
    </w:p>
    <w:p>
      <w:pPr>
        <w:pStyle w:val="msolistparagraph"/>
        <w:widowControl/>
        <w:spacing w:lineRule="exact" w:line="400"/>
        <w:ind w:hanging="0" w:left="420"/>
        <w:rPr>
          <w:rFonts w:eastAsia="黑体"/>
          <w:b/>
          <w:sz w:val="32"/>
          <w:szCs w:val="32"/>
        </w:rPr>
      </w:pPr>
      <w:r>
        <w:rPr>
          <w:rFonts w:eastAsia="黑体"/>
          <w:b/>
          <w:sz w:val="32"/>
          <w:szCs w:val="32"/>
        </w:rPr>
        <w:t>[</w:t>
      </w:r>
      <w:r>
        <w:rPr>
          <w:rFonts w:cs="黑体" w:eastAsia="黑体"/>
          <w:b/>
          <w:sz w:val="32"/>
          <w:szCs w:val="32"/>
        </w:rPr>
        <w:t>综述</w:t>
      </w:r>
      <w:r>
        <w:rPr>
          <w:rFonts w:eastAsia="黑体"/>
          <w:b/>
          <w:sz w:val="32"/>
          <w:szCs w:val="32"/>
        </w:rPr>
        <w:t>]</w:t>
      </w:r>
    </w:p>
    <w:p>
      <w:pPr>
        <w:pStyle w:val="msolistparagraph"/>
        <w:widowControl/>
        <w:spacing w:lineRule="exact" w:line="400"/>
        <w:ind w:hanging="0" w:left="420"/>
        <w:rPr>
          <w:rFonts w:eastAsia="黑体"/>
          <w:b/>
          <w:sz w:val="32"/>
          <w:szCs w:val="32"/>
        </w:rPr>
      </w:pPr>
      <w:r>
        <w:rPr>
          <w:rFonts w:eastAsia="黑体"/>
          <w:b/>
          <w:sz w:val="32"/>
          <w:szCs w:val="32"/>
        </w:rPr>
      </w:r>
    </w:p>
    <w:p>
      <w:pPr>
        <w:pStyle w:val="Normal"/>
        <w:spacing w:lineRule="auto" w:line="360"/>
        <w:jc w:val="center"/>
        <w:rPr>
          <w:rFonts w:ascii="黑体" w:hAnsi="黑体" w:eastAsia="黑体" w:cs="黑体"/>
          <w:sz w:val="32"/>
          <w:szCs w:val="32"/>
        </w:rPr>
      </w:pPr>
      <w:r>
        <w:rPr>
          <w:rFonts w:ascii="黑体" w:hAnsi="黑体" w:cs="黑体" w:eastAsia="黑体"/>
          <w:sz w:val="32"/>
          <w:szCs w:val="32"/>
          <w:lang w:bidi="ar-SA"/>
        </w:rPr>
        <w:t>有限元分析在口腔颌面外科中的应用进展</w:t>
      </w:r>
    </w:p>
    <w:p>
      <w:pPr>
        <w:pStyle w:val="Normal"/>
        <w:widowControl/>
        <w:jc w:val="center"/>
        <w:rPr>
          <w:b/>
          <w:sz w:val="32"/>
          <w:szCs w:val="32"/>
        </w:rPr>
      </w:pPr>
      <w:r>
        <w:rPr>
          <w:b/>
          <w:sz w:val="32"/>
          <w:szCs w:val="32"/>
        </w:rPr>
      </w:r>
    </w:p>
    <w:p>
      <w:pPr>
        <w:pStyle w:val="Normal"/>
        <w:widowControl/>
        <w:jc w:val="center"/>
        <w:rPr>
          <w:b/>
          <w:sz w:val="28"/>
          <w:szCs w:val="28"/>
        </w:rPr>
      </w:pPr>
      <w:r>
        <w:rPr>
          <w:rFonts w:cs="宋体"/>
          <w:b/>
          <w:sz w:val="28"/>
          <w:szCs w:val="28"/>
          <w:lang w:bidi="ar-SA"/>
        </w:rPr>
        <w:t>唐睿泽</w:t>
      </w:r>
      <w:r>
        <w:rPr>
          <w:b/>
          <w:sz w:val="28"/>
          <w:szCs w:val="28"/>
          <w:lang w:bidi="ar-SA"/>
        </w:rPr>
        <w:t xml:space="preserve"> </w:t>
      </w:r>
      <w:r>
        <w:rPr>
          <w:rFonts w:cs="宋体"/>
          <w:b/>
          <w:sz w:val="28"/>
          <w:szCs w:val="28"/>
          <w:lang w:bidi="ar-SA"/>
        </w:rPr>
        <w:t>综述</w:t>
      </w:r>
      <w:r>
        <w:rPr>
          <w:b/>
          <w:sz w:val="28"/>
          <w:szCs w:val="28"/>
          <w:lang w:bidi="ar-SA"/>
        </w:rPr>
        <w:t xml:space="preserve">   </w:t>
      </w:r>
      <w:r>
        <w:rPr>
          <w:rFonts w:cs="宋体"/>
          <w:b/>
          <w:sz w:val="28"/>
          <w:szCs w:val="28"/>
          <w:lang w:bidi="ar-SA"/>
        </w:rPr>
        <w:t>李京旭</w:t>
      </w:r>
      <w:r>
        <w:rPr>
          <w:b/>
          <w:sz w:val="28"/>
          <w:szCs w:val="28"/>
          <w:lang w:bidi="ar-SA"/>
        </w:rPr>
        <w:t xml:space="preserve"> </w:t>
      </w:r>
      <w:r>
        <w:rPr>
          <w:rFonts w:cs="宋体"/>
          <w:b/>
          <w:sz w:val="28"/>
          <w:szCs w:val="28"/>
          <w:lang w:bidi="ar-SA"/>
        </w:rPr>
        <w:t>审校</w:t>
      </w:r>
    </w:p>
    <w:p>
      <w:pPr>
        <w:pStyle w:val="Normal"/>
        <w:spacing w:lineRule="exact" w:line="420"/>
        <w:ind w:firstLine="480"/>
        <w:rPr>
          <w:rFonts w:ascii="宋体" w:hAnsi="宋体" w:cs="宋体"/>
          <w:sz w:val="24"/>
        </w:rPr>
      </w:pPr>
      <w:r>
        <w:rPr>
          <w:rFonts w:ascii="宋体" w:hAnsi="宋体" w:cs="宋体"/>
          <w:sz w:val="24"/>
          <w:lang w:bidi="ar-SA"/>
        </w:rPr>
        <w:t>摘要：有限元分析是一种虚拟仿真技术，目前主要应用与工程领域，而进年来在口腔颌面外科中的应用逐渐增多，本文对有限元分析法在口腔颌面外科的应用进展做一综述。</w:t>
      </w:r>
    </w:p>
    <w:p>
      <w:pPr>
        <w:pStyle w:val="Normal"/>
        <w:spacing w:lineRule="exact" w:line="420"/>
        <w:ind w:firstLine="480"/>
        <w:rPr>
          <w:rFonts w:ascii="宋体" w:hAnsi="宋体" w:cs="宋体"/>
          <w:sz w:val="24"/>
        </w:rPr>
      </w:pPr>
      <w:r>
        <w:rPr>
          <w:rFonts w:ascii="宋体" w:hAnsi="宋体" w:cs="宋体"/>
          <w:sz w:val="24"/>
          <w:lang w:bidi="ar-SA"/>
        </w:rPr>
        <w:t>关键词：有限元分析；口腔颌面外科</w:t>
      </w:r>
      <w:r>
        <w:rPr>
          <w:rFonts w:ascii="宋体" w:hAnsi="宋体" w:cs="宋体"/>
          <w:sz w:val="24"/>
        </w:rPr>
        <w:t xml:space="preserve"> </w:t>
      </w:r>
    </w:p>
    <w:p>
      <w:pPr>
        <w:pStyle w:val="Normal"/>
        <w:spacing w:lineRule="exact" w:line="420"/>
        <w:ind w:firstLine="480"/>
        <w:rPr>
          <w:rFonts w:ascii="宋体" w:hAnsi="宋体" w:cs="宋体"/>
          <w:sz w:val="24"/>
        </w:rPr>
      </w:pPr>
      <w:r>
        <w:rPr>
          <w:rFonts w:ascii="宋体" w:hAnsi="宋体" w:cs="宋体"/>
          <w:sz w:val="24"/>
          <w:lang w:bidi="ar-SA"/>
        </w:rPr>
        <w:t>有限元分析是一种用于进行计算机辅助工程的高级数值方法。从数学角度来看，它可以使构成给定物理系统过程或状态的数学模型的偏微分方程获得近似解。从实际应用的角度来看，</w:t>
      </w:r>
      <w:r>
        <w:rPr>
          <w:sz w:val="24"/>
          <w:lang w:bidi="ar-SA"/>
        </w:rPr>
        <w:t>FEA</w:t>
      </w:r>
      <w:r>
        <w:rPr>
          <w:rFonts w:ascii="宋体" w:hAnsi="宋体" w:cs="宋体"/>
          <w:sz w:val="24"/>
          <w:lang w:bidi="ar-SA"/>
        </w:rPr>
        <w:t>通常被各种研究人员用来分析复杂机械系统中的应力和应变。</w:t>
      </w:r>
      <w:r>
        <w:rPr>
          <w:sz w:val="24"/>
          <w:lang w:bidi="ar-SA"/>
        </w:rPr>
        <w:t>FEA</w:t>
      </w:r>
      <w:r>
        <w:rPr>
          <w:rFonts w:ascii="宋体" w:hAnsi="宋体" w:cs="宋体"/>
          <w:sz w:val="24"/>
          <w:lang w:bidi="ar-SA"/>
        </w:rPr>
        <w:t>在解决研究问题中的应用需要一定的步骤。首先，必须创建要测试对象的数值模型。在牙科领域，构成其虚拟数字等价物基础的几何模型通常是人颞下颌系统中一部分的三维图像，该图像是使用锥束计算机断层扫描</w:t>
      </w:r>
      <w:r>
        <w:rPr>
          <w:rFonts w:cs="宋体"/>
          <w:sz w:val="24"/>
          <w:lang w:bidi="ar-SA"/>
        </w:rPr>
        <w:t>（</w:t>
      </w:r>
      <w:r>
        <w:rPr>
          <w:sz w:val="24"/>
          <w:lang w:bidi="ar-SA"/>
        </w:rPr>
        <w:t>CBCT</w:t>
      </w:r>
      <w:r>
        <w:rPr>
          <w:rFonts w:cs="宋体"/>
          <w:sz w:val="24"/>
          <w:lang w:bidi="ar-SA"/>
        </w:rPr>
        <w:t>）</w:t>
      </w:r>
      <w:r>
        <w:rPr>
          <w:rFonts w:ascii="宋体" w:hAnsi="宋体" w:cs="宋体"/>
          <w:sz w:val="24"/>
          <w:lang w:bidi="ar-SA"/>
        </w:rPr>
        <w:t>、显微断层扫描、口内和口外扫描仪或计算机辅助设计</w:t>
      </w:r>
      <w:r>
        <w:rPr>
          <w:rFonts w:cs="宋体"/>
          <w:sz w:val="24"/>
          <w:lang w:bidi="ar-SA"/>
        </w:rPr>
        <w:t>（</w:t>
      </w:r>
      <w:r>
        <w:rPr>
          <w:sz w:val="24"/>
          <w:lang w:bidi="ar-SA"/>
        </w:rPr>
        <w:t>CAD</w:t>
      </w:r>
      <w:r>
        <w:rPr>
          <w:rFonts w:cs="宋体"/>
          <w:sz w:val="24"/>
          <w:lang w:bidi="ar-SA"/>
        </w:rPr>
        <w:t>）</w:t>
      </w:r>
      <w:r>
        <w:rPr>
          <w:rFonts w:ascii="宋体" w:hAnsi="宋体" w:cs="宋体"/>
          <w:sz w:val="24"/>
          <w:lang w:bidi="ar-SA"/>
        </w:rPr>
        <w:t>软件获得的。创建数值模型后，对其进行离散化，这意味着将其划分为许多简单的元素</w:t>
      </w:r>
      <w:r>
        <w:rPr>
          <w:rFonts w:cs="宋体" w:ascii="宋体" w:hAnsi="宋体"/>
          <w:sz w:val="24"/>
          <w:vertAlign w:val="superscript"/>
          <w:lang w:bidi="ar-SA"/>
        </w:rPr>
        <w:t>[1]</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每个元素都被分配了适当材料属性，例如骨、牙齿或异物材料的杨氏模量</w:t>
      </w:r>
      <w:r>
        <w:rPr>
          <w:rFonts w:cs="宋体"/>
          <w:sz w:val="24"/>
          <w:lang w:bidi="ar-SA"/>
        </w:rPr>
        <w:t>（</w:t>
      </w:r>
      <w:r>
        <w:rPr>
          <w:sz w:val="24"/>
          <w:lang w:bidi="ar-SA"/>
        </w:rPr>
        <w:t>E</w:t>
      </w:r>
      <w:r>
        <w:rPr>
          <w:rFonts w:cs="宋体"/>
          <w:sz w:val="24"/>
          <w:lang w:bidi="ar-SA"/>
        </w:rPr>
        <w:t>）</w:t>
      </w:r>
      <w:r>
        <w:rPr>
          <w:rFonts w:ascii="宋体" w:hAnsi="宋体" w:cs="宋体"/>
          <w:sz w:val="24"/>
          <w:lang w:bidi="ar-SA"/>
        </w:rPr>
        <w:t>或泊松比</w:t>
      </w:r>
      <w:r>
        <w:rPr>
          <w:rFonts w:cs="宋体"/>
          <w:sz w:val="24"/>
          <w:lang w:bidi="ar-SA"/>
        </w:rPr>
        <w:t>（</w:t>
      </w:r>
      <w:r>
        <w:rPr>
          <w:sz w:val="24"/>
          <w:lang w:bidi="ar-SA"/>
        </w:rPr>
        <w:t>v</w:t>
      </w:r>
      <w:r>
        <w:rPr>
          <w:rFonts w:cs="宋体"/>
          <w:sz w:val="24"/>
          <w:lang w:bidi="ar-SA"/>
        </w:rPr>
        <w:t>）</w:t>
      </w:r>
      <w:r>
        <w:rPr>
          <w:rFonts w:ascii="宋体" w:hAnsi="宋体" w:cs="宋体"/>
          <w:sz w:val="24"/>
          <w:lang w:bidi="ar-SA"/>
        </w:rPr>
        <w:t>，这些材料属性是在实验研究过程中先前确定的。最后，可以在数值模型的不同区域施加模拟力，并揭示特定应力和应变的分布。</w:t>
      </w:r>
    </w:p>
    <w:p>
      <w:pPr>
        <w:pStyle w:val="Normal"/>
        <w:spacing w:lineRule="exact" w:line="420"/>
        <w:rPr>
          <w:rFonts w:ascii="宋体" w:hAnsi="宋体" w:cs="宋体"/>
          <w:sz w:val="24"/>
        </w:rPr>
      </w:pPr>
      <w:r>
        <w:rPr>
          <w:rFonts w:cs="宋体" w:ascii="宋体" w:hAnsi="宋体"/>
          <w:sz w:val="24"/>
          <w:lang w:bidi="ar-SA"/>
        </w:rPr>
        <w:t xml:space="preserve">1 </w:t>
      </w:r>
      <w:r>
        <w:rPr>
          <w:rFonts w:ascii="宋体" w:hAnsi="宋体" w:cs="宋体"/>
          <w:sz w:val="24"/>
          <w:lang w:bidi="ar-SA"/>
        </w:rPr>
        <w:t>创伤外科</w:t>
      </w:r>
    </w:p>
    <w:p>
      <w:pPr>
        <w:pStyle w:val="Normal"/>
        <w:spacing w:lineRule="exact" w:line="420"/>
        <w:ind w:firstLine="480"/>
        <w:rPr>
          <w:rFonts w:ascii="宋体" w:hAnsi="宋体" w:cs="宋体"/>
          <w:sz w:val="24"/>
        </w:rPr>
      </w:pPr>
      <w:r>
        <w:rPr>
          <w:rFonts w:ascii="宋体" w:hAnsi="宋体" w:cs="宋体"/>
          <w:sz w:val="24"/>
          <w:lang w:bidi="ar-SA"/>
        </w:rPr>
        <w:t>由于伦理原因，在体内研究面部创伤的后果和病因实际上是不可行的。创建一个可靠的物理测试模型，它令人满意地再现了面部组织的复杂性和机械参数，不仅具有挑战性，而且鉴于其一次性的预定用途，成本也很高。以上增强了在外部创伤负荷下应力分布虚拟分析的可比性。在创伤外科领域，</w:t>
      </w:r>
      <w:r>
        <w:rPr>
          <w:sz w:val="24"/>
          <w:lang w:bidi="ar-SA"/>
        </w:rPr>
        <w:t>FEA</w:t>
      </w:r>
      <w:r>
        <w:rPr>
          <w:rFonts w:cs="宋体" w:ascii="宋体" w:hAnsi="宋体"/>
          <w:sz w:val="24"/>
          <w:lang w:bidi="ar-SA"/>
        </w:rPr>
        <w:t xml:space="preserve"> </w:t>
      </w:r>
      <w:r>
        <w:rPr>
          <w:rFonts w:ascii="宋体" w:hAnsi="宋体" w:cs="宋体"/>
          <w:sz w:val="24"/>
          <w:lang w:bidi="ar-SA"/>
        </w:rPr>
        <w:t>可以用来识别颅颌面骨骼中特别容易骨折的区域。它可以使在创伤后对面部区域的应力分布进行精确的绘制，这可以帮助评估创伤事件后的患者。此外，对创伤生物力学的更深入了解可以优化目前治疗骨折的手术方案。</w:t>
      </w:r>
    </w:p>
    <w:p>
      <w:pPr>
        <w:pStyle w:val="Normal"/>
        <w:spacing w:lineRule="exact" w:line="420"/>
        <w:ind w:firstLine="480"/>
        <w:rPr>
          <w:rFonts w:ascii="宋体" w:hAnsi="宋体" w:cs="宋体"/>
          <w:sz w:val="24"/>
        </w:rPr>
      </w:pPr>
      <w:r>
        <w:rPr>
          <w:rFonts w:ascii="宋体" w:hAnsi="宋体" w:cs="宋体"/>
          <w:sz w:val="24"/>
          <w:lang w:bidi="ar-SA"/>
        </w:rPr>
        <w:t>到目前为止，基于</w:t>
      </w:r>
      <w:r>
        <w:rPr>
          <w:sz w:val="24"/>
          <w:lang w:bidi="ar-SA"/>
        </w:rPr>
        <w:t>FEA</w:t>
      </w:r>
      <w:r>
        <w:rPr>
          <w:rFonts w:ascii="宋体" w:hAnsi="宋体" w:cs="宋体"/>
          <w:sz w:val="24"/>
          <w:lang w:bidi="ar-SA"/>
        </w:rPr>
        <w:t>，研究人员已经测试了第三磨牙的存在对下颌角弱化的影响</w:t>
      </w:r>
      <w:r>
        <w:rPr>
          <w:rFonts w:cs="宋体" w:ascii="宋体" w:hAnsi="宋体"/>
          <w:sz w:val="24"/>
          <w:vertAlign w:val="superscript"/>
          <w:lang w:bidi="ar-SA"/>
        </w:rPr>
        <w:t>[2]</w:t>
      </w:r>
      <w:r>
        <w:rPr>
          <w:rFonts w:ascii="宋体" w:hAnsi="宋体" w:cs="宋体"/>
          <w:sz w:val="24"/>
          <w:lang w:bidi="ar-SA"/>
        </w:rPr>
        <w:t>。他们还评估了在拔除阻生下颌第三磨牙周围去除不同量骨后发生医源性骨折的可能性，得出结论，如果手术过程涉及去除外斜线，则下颌在正常咬合下发生的应力更高</w:t>
      </w:r>
      <w:r>
        <w:rPr>
          <w:rFonts w:cs="宋体" w:ascii="宋体" w:hAnsi="宋体"/>
          <w:sz w:val="24"/>
          <w:vertAlign w:val="superscript"/>
          <w:lang w:bidi="ar-SA"/>
        </w:rPr>
        <w:t>[3]</w:t>
      </w:r>
      <w:r>
        <w:rPr>
          <w:rFonts w:ascii="宋体" w:hAnsi="宋体" w:cs="宋体"/>
          <w:sz w:val="24"/>
          <w:lang w:bidi="ar-SA"/>
        </w:rPr>
        <w:t>，这可能允许口腔外科医生在某些情况下改变他们对拔牙的方法。对拔除病理性病变后下颌模型的创伤负荷也进行了</w:t>
      </w:r>
      <w:r>
        <w:rPr>
          <w:sz w:val="24"/>
          <w:lang w:bidi="ar-SA"/>
        </w:rPr>
        <w:t>FEA</w:t>
      </w:r>
      <w:r>
        <w:rPr>
          <w:rFonts w:ascii="宋体" w:hAnsi="宋体" w:cs="宋体"/>
          <w:sz w:val="24"/>
          <w:lang w:bidi="ar-SA"/>
        </w:rPr>
        <w:t>。在这项研究中，说明了在手术切除囊肿后应用板的降低下颌应力的理论有效性</w:t>
      </w:r>
      <w:r>
        <w:rPr>
          <w:rFonts w:cs="宋体" w:ascii="宋体" w:hAnsi="宋体"/>
          <w:sz w:val="24"/>
          <w:vertAlign w:val="superscript"/>
          <w:lang w:bidi="ar-SA"/>
        </w:rPr>
        <w:t>[4]</w:t>
      </w:r>
      <w:r>
        <w:rPr>
          <w:rFonts w:ascii="宋体" w:hAnsi="宋体" w:cs="宋体"/>
          <w:sz w:val="24"/>
          <w:lang w:bidi="ar-SA"/>
        </w:rPr>
        <w:t>。对三种不同创伤负荷条件下的无牙下颌也进行了</w:t>
      </w:r>
      <w:r>
        <w:rPr>
          <w:sz w:val="24"/>
          <w:lang w:bidi="ar-SA"/>
        </w:rPr>
        <w:t>FEA</w:t>
      </w:r>
      <w:r>
        <w:rPr>
          <w:rFonts w:ascii="宋体" w:hAnsi="宋体" w:cs="宋体"/>
          <w:sz w:val="24"/>
          <w:lang w:bidi="ar-SA"/>
        </w:rPr>
        <w:t>，这使能够准确绘制应力分布图，并预测老年人更容易骨折的区域</w:t>
      </w:r>
      <w:r>
        <w:rPr>
          <w:rFonts w:cs="宋体" w:ascii="宋体" w:hAnsi="宋体"/>
          <w:sz w:val="24"/>
          <w:vertAlign w:val="superscript"/>
          <w:lang w:bidi="ar-SA"/>
        </w:rPr>
        <w:t>[5]</w:t>
      </w:r>
      <w:r>
        <w:rPr>
          <w:rFonts w:ascii="宋体" w:hAnsi="宋体" w:cs="宋体"/>
          <w:sz w:val="24"/>
          <w:lang w:bidi="ar-SA"/>
        </w:rPr>
        <w:t>。更复杂的创伤，如孤立眶底骨折或颧骨骨折</w:t>
      </w:r>
      <w:r>
        <w:rPr>
          <w:rFonts w:cs="宋体" w:ascii="宋体" w:hAnsi="宋体"/>
          <w:sz w:val="24"/>
          <w:vertAlign w:val="superscript"/>
          <w:lang w:bidi="ar-SA"/>
        </w:rPr>
        <w:t>[6]</w:t>
      </w:r>
      <w:r>
        <w:rPr>
          <w:rFonts w:ascii="宋体" w:hAnsi="宋体" w:cs="宋体"/>
          <w:sz w:val="24"/>
          <w:lang w:bidi="ar-SA"/>
        </w:rPr>
        <w:t xml:space="preserve">，这些创伤在接触性运动中经常观察到，也通过 </w:t>
      </w:r>
      <w:r>
        <w:rPr>
          <w:sz w:val="24"/>
          <w:lang w:bidi="ar-SA"/>
        </w:rPr>
        <w:t xml:space="preserve">FEA </w:t>
      </w:r>
      <w:r>
        <w:rPr>
          <w:rFonts w:ascii="宋体" w:hAnsi="宋体" w:cs="宋体"/>
          <w:sz w:val="24"/>
          <w:lang w:bidi="ar-SA"/>
        </w:rPr>
        <w:t>进行了研究，并在研究过程中揭示了它们的病理机制。</w:t>
      </w:r>
    </w:p>
    <w:p>
      <w:pPr>
        <w:pStyle w:val="Normal"/>
        <w:spacing w:lineRule="exact" w:line="420"/>
        <w:ind w:firstLine="480"/>
        <w:rPr>
          <w:rFonts w:ascii="宋体" w:hAnsi="宋体" w:cs="宋体"/>
          <w:sz w:val="24"/>
        </w:rPr>
      </w:pPr>
      <w:r>
        <w:rPr>
          <w:rFonts w:ascii="宋体" w:hAnsi="宋体" w:cs="宋体"/>
          <w:sz w:val="24"/>
          <w:lang w:bidi="ar-SA"/>
        </w:rPr>
        <w:t>除了探索不同骨折的机制外，</w:t>
      </w:r>
      <w:r>
        <w:rPr>
          <w:sz w:val="24"/>
          <w:lang w:bidi="ar-SA"/>
        </w:rPr>
        <w:t>FEA</w:t>
      </w:r>
      <w:r>
        <w:rPr>
          <w:rFonts w:ascii="宋体" w:hAnsi="宋体" w:cs="宋体"/>
          <w:sz w:val="24"/>
          <w:lang w:bidi="ar-SA"/>
        </w:rPr>
        <w:t>还满足了研究人员分析相对罕见且更复杂的面部创伤的需求，例如，阐明人类下颌在爆炸事件中的损伤</w:t>
      </w:r>
      <w:r>
        <w:rPr>
          <w:rFonts w:cs="宋体" w:ascii="宋体" w:hAnsi="宋体"/>
          <w:sz w:val="24"/>
          <w:vertAlign w:val="superscript"/>
          <w:lang w:bidi="ar-SA"/>
        </w:rPr>
        <w:t>[7]</w:t>
      </w:r>
      <w:r>
        <w:rPr>
          <w:rFonts w:ascii="宋体" w:hAnsi="宋体" w:cs="宋体"/>
          <w:sz w:val="24"/>
          <w:lang w:bidi="ar-SA"/>
        </w:rPr>
        <w:t>或进行初步有限元模拟和分析，以确定枪伤中下颌损伤的机制</w:t>
      </w:r>
      <w:r>
        <w:rPr>
          <w:rFonts w:cs="宋体" w:ascii="宋体" w:hAnsi="宋体"/>
          <w:sz w:val="24"/>
          <w:vertAlign w:val="superscript"/>
          <w:lang w:bidi="ar-SA"/>
        </w:rPr>
        <w:t>[8]</w:t>
      </w:r>
      <w:r>
        <w:rPr>
          <w:rFonts w:ascii="宋体" w:hAnsi="宋体" w:cs="宋体"/>
          <w:sz w:val="24"/>
          <w:lang w:bidi="ar-SA"/>
        </w:rPr>
        <w:t>。了解骨折的病理机制非常重要。它不仅可以应用于工业（在设计和制造头部和颈部头盔和其他防护器时）</w:t>
      </w:r>
      <w:r>
        <w:rPr>
          <w:rFonts w:cs="宋体" w:ascii="宋体" w:hAnsi="宋体"/>
          <w:sz w:val="24"/>
          <w:vertAlign w:val="superscript"/>
          <w:lang w:bidi="ar-SA"/>
        </w:rPr>
        <w:t>[9-12]</w:t>
      </w:r>
      <w:r>
        <w:rPr>
          <w:rFonts w:ascii="宋体" w:hAnsi="宋体" w:cs="宋体"/>
          <w:sz w:val="24"/>
          <w:lang w:bidi="ar-SA"/>
        </w:rPr>
        <w:t>和法医学</w:t>
      </w:r>
      <w:r>
        <w:rPr>
          <w:rFonts w:cs="宋体" w:ascii="宋体" w:hAnsi="宋体"/>
          <w:sz w:val="24"/>
          <w:vertAlign w:val="superscript"/>
          <w:lang w:bidi="ar-SA"/>
        </w:rPr>
        <w:t>[13]</w:t>
      </w:r>
      <w:r>
        <w:rPr>
          <w:rFonts w:ascii="宋体" w:hAnsi="宋体" w:cs="宋体"/>
          <w:sz w:val="24"/>
          <w:lang w:bidi="ar-SA"/>
        </w:rPr>
        <w:t>，还可以用于识别最佳桥接方法。确定骨结合长期成功的关键因素是刚性固定。内固定元件的不当选择可能会导致骨融合的并发症。因此，对</w:t>
      </w:r>
      <w:r>
        <w:rPr>
          <w:sz w:val="24"/>
          <w:lang w:bidi="ar-SA"/>
        </w:rPr>
        <w:t>FEA</w:t>
      </w:r>
      <w:r>
        <w:rPr>
          <w:rFonts w:ascii="宋体" w:hAnsi="宋体" w:cs="宋体"/>
          <w:sz w:val="24"/>
          <w:lang w:bidi="ar-SA"/>
        </w:rPr>
        <w:t>分析不同的固定方法和系统有很大兴趣</w:t>
      </w:r>
      <w:r>
        <w:rPr>
          <w:rFonts w:cs="宋体" w:ascii="宋体" w:hAnsi="宋体"/>
          <w:sz w:val="24"/>
          <w:vertAlign w:val="superscript"/>
          <w:lang w:bidi="ar-SA"/>
        </w:rPr>
        <w:t>[14-16]</w:t>
      </w:r>
      <w:r>
        <w:rPr>
          <w:rFonts w:ascii="宋体" w:hAnsi="宋体" w:cs="宋体"/>
          <w:sz w:val="24"/>
          <w:lang w:bidi="ar-SA"/>
        </w:rPr>
        <w:t xml:space="preserve">。有时，不仅选择固定元件很麻烦，而且克服解剖障碍也很麻烦。在这里，由于其特定的解剖结构，颞下颌关节骨折内固定一直是一个特别具有挑战性的主题。由于手术入路的需求，这种类型的内固定中的固定元件应该非常轻便、易于安装且耐用，以最大限度地降低连续干预的风险。这些考虑因素一直是许多 </w:t>
      </w:r>
      <w:r>
        <w:rPr>
          <w:sz w:val="24"/>
          <w:lang w:bidi="ar-SA"/>
        </w:rPr>
        <w:t>FEA</w:t>
      </w:r>
      <w:r>
        <w:rPr>
          <w:rFonts w:ascii="宋体" w:hAnsi="宋体" w:cs="宋体"/>
          <w:sz w:val="24"/>
          <w:lang w:bidi="ar-SA"/>
        </w:rPr>
        <w:t>研究的对象</w:t>
      </w:r>
      <w:r>
        <w:rPr>
          <w:rFonts w:cs="宋体" w:ascii="宋体" w:hAnsi="宋体"/>
          <w:sz w:val="24"/>
          <w:vertAlign w:val="superscript"/>
          <w:lang w:bidi="ar-SA"/>
        </w:rPr>
        <w:t>[17-19]</w:t>
      </w:r>
      <w:r>
        <w:rPr>
          <w:rFonts w:ascii="宋体" w:hAnsi="宋体" w:cs="宋体"/>
          <w:sz w:val="24"/>
          <w:lang w:bidi="ar-SA"/>
        </w:rPr>
        <w:t>。一些研究调查了如何获得颞下颌关节骨折碎片的最佳稳定性</w:t>
      </w:r>
      <w:r>
        <w:rPr>
          <w:rFonts w:cs="宋体" w:ascii="宋体" w:hAnsi="宋体"/>
          <w:sz w:val="24"/>
          <w:vertAlign w:val="superscript"/>
          <w:lang w:bidi="ar-SA"/>
        </w:rPr>
        <w:t>[20, 21]</w:t>
      </w:r>
      <w:r>
        <w:rPr>
          <w:rFonts w:ascii="宋体" w:hAnsi="宋体" w:cs="宋体"/>
          <w:sz w:val="24"/>
          <w:lang w:bidi="ar-SA"/>
        </w:rPr>
        <w:t xml:space="preserve">，而另一项研究在经过 </w:t>
      </w:r>
      <w:r>
        <w:rPr>
          <w:rFonts w:cs="宋体" w:ascii="宋体" w:hAnsi="宋体"/>
          <w:sz w:val="24"/>
          <w:lang w:bidi="ar-SA"/>
        </w:rPr>
        <w:t xml:space="preserve">FEA </w:t>
      </w:r>
      <w:r>
        <w:rPr>
          <w:rFonts w:ascii="宋体" w:hAnsi="宋体" w:cs="宋体"/>
          <w:sz w:val="24"/>
          <w:lang w:bidi="ar-SA"/>
        </w:rPr>
        <w:t>的彻底评估后，引入了一种全新的内固定板</w:t>
      </w:r>
      <w:r>
        <w:rPr>
          <w:rFonts w:cs="宋体" w:ascii="宋体" w:hAnsi="宋体"/>
          <w:sz w:val="24"/>
          <w:vertAlign w:val="superscript"/>
          <w:lang w:bidi="ar-SA"/>
        </w:rPr>
        <w:t>[22]</w:t>
      </w:r>
      <w:r>
        <w:rPr>
          <w:rFonts w:ascii="宋体" w:hAnsi="宋体" w:cs="宋体"/>
          <w:sz w:val="24"/>
          <w:lang w:bidi="ar-SA"/>
        </w:rPr>
        <w:t>。引入新、更优化、更耐用、更轻的固定元件的趋势表明</w:t>
      </w:r>
      <w:r>
        <w:rPr>
          <w:rFonts w:cs="宋体"/>
          <w:sz w:val="24"/>
          <w:lang w:bidi="ar-SA"/>
        </w:rPr>
        <w:t>，</w:t>
      </w:r>
      <w:r>
        <w:rPr>
          <w:sz w:val="24"/>
          <w:lang w:bidi="ar-SA"/>
        </w:rPr>
        <w:t>FEA</w:t>
      </w:r>
      <w:r>
        <w:rPr>
          <w:rFonts w:ascii="宋体" w:hAnsi="宋体" w:cs="宋体"/>
          <w:sz w:val="24"/>
          <w:lang w:bidi="ar-SA"/>
        </w:rPr>
        <w:t>在创伤外科中的应用仍然有很大的空间，特别是当向可以生物降解的材料发展时</w:t>
      </w:r>
      <w:r>
        <w:rPr>
          <w:rFonts w:cs="宋体" w:ascii="宋体" w:hAnsi="宋体"/>
          <w:sz w:val="24"/>
          <w:vertAlign w:val="superscript"/>
          <w:lang w:bidi="ar-SA"/>
        </w:rPr>
        <w:t>[15]</w:t>
      </w:r>
      <w:r>
        <w:rPr>
          <w:rFonts w:ascii="宋体" w:hAnsi="宋体" w:cs="宋体"/>
          <w:sz w:val="24"/>
          <w:lang w:bidi="ar-SA"/>
        </w:rPr>
        <w:t>。新的解决方案和新型材料在投入实践之前总是需要进行彻底的评估，到目前为止，</w:t>
      </w:r>
      <w:r>
        <w:rPr>
          <w:sz w:val="24"/>
          <w:lang w:bidi="ar-SA"/>
        </w:rPr>
        <w:t>FEA</w:t>
      </w:r>
      <w:r>
        <w:rPr>
          <w:rFonts w:ascii="宋体" w:hAnsi="宋体" w:cs="宋体"/>
          <w:sz w:val="24"/>
          <w:lang w:bidi="ar-SA"/>
        </w:rPr>
        <w:t>已经证明在这种调查中是一种有用的工具。</w:t>
      </w:r>
    </w:p>
    <w:p>
      <w:pPr>
        <w:pStyle w:val="Normal"/>
        <w:spacing w:lineRule="exact" w:line="420"/>
        <w:rPr>
          <w:rFonts w:ascii="宋体" w:hAnsi="宋体" w:cs="宋体"/>
          <w:sz w:val="24"/>
        </w:rPr>
      </w:pPr>
      <w:r>
        <w:rPr>
          <w:rFonts w:cs="宋体" w:ascii="宋体" w:hAnsi="宋体"/>
          <w:sz w:val="24"/>
          <w:lang w:bidi="ar-SA"/>
        </w:rPr>
        <w:t xml:space="preserve">2 </w:t>
      </w:r>
      <w:r>
        <w:rPr>
          <w:rFonts w:ascii="宋体" w:hAnsi="宋体" w:cs="宋体"/>
          <w:sz w:val="24"/>
          <w:lang w:bidi="ar-SA"/>
        </w:rPr>
        <w:t>正颌外科</w:t>
      </w:r>
    </w:p>
    <w:p>
      <w:pPr>
        <w:pStyle w:val="Normal"/>
        <w:spacing w:lineRule="exact" w:line="420"/>
        <w:ind w:firstLine="480"/>
        <w:rPr>
          <w:rFonts w:ascii="宋体" w:hAnsi="宋体" w:cs="宋体"/>
          <w:sz w:val="24"/>
        </w:rPr>
      </w:pPr>
      <w:r>
        <w:rPr>
          <w:rFonts w:ascii="宋体" w:hAnsi="宋体" w:cs="宋体"/>
          <w:sz w:val="24"/>
          <w:lang w:bidi="ar-SA"/>
        </w:rPr>
        <w:t>选择合适的桥接元件也是所有正颌外科手术成功结果的关键决定因素。在双矢状劈开截骨术中，</w:t>
      </w:r>
      <w:r>
        <w:rPr>
          <w:rFonts w:cs="宋体" w:ascii="宋体" w:hAnsi="宋体"/>
          <w:sz w:val="24"/>
          <w:lang w:bidi="ar-SA"/>
        </w:rPr>
        <w:t xml:space="preserve">FEA </w:t>
      </w:r>
      <w:r>
        <w:rPr>
          <w:rFonts w:ascii="宋体" w:hAnsi="宋体" w:cs="宋体"/>
          <w:sz w:val="24"/>
          <w:lang w:bidi="ar-SA"/>
        </w:rPr>
        <w:t>已被积极用于比较各种固定系统桥接骨段之间的稳定性</w:t>
      </w:r>
      <w:r>
        <w:rPr>
          <w:rFonts w:cs="宋体" w:ascii="宋体" w:hAnsi="宋体"/>
          <w:sz w:val="24"/>
          <w:vertAlign w:val="superscript"/>
          <w:lang w:bidi="ar-SA"/>
        </w:rPr>
        <w:t>[23-26]</w:t>
      </w:r>
      <w:r>
        <w:rPr>
          <w:rFonts w:ascii="宋体" w:hAnsi="宋体" w:cs="宋体"/>
          <w:sz w:val="24"/>
          <w:lang w:bidi="ar-SA"/>
        </w:rPr>
        <w:t>。为此，</w:t>
      </w:r>
      <w:r>
        <w:rPr>
          <w:sz w:val="24"/>
          <w:lang w:bidi="ar-SA"/>
        </w:rPr>
        <w:t>有学者</w:t>
      </w:r>
      <w:r>
        <w:rPr>
          <w:rFonts w:ascii="宋体" w:hAnsi="宋体" w:cs="宋体"/>
          <w:sz w:val="24"/>
          <w:lang w:bidi="ar-SA"/>
        </w:rPr>
        <w:t>创建了一个三维数字各向同性模型，根据双矢状劈开截骨术分为三个部分，每部分之间有</w:t>
      </w:r>
      <w:r>
        <w:rPr>
          <w:sz w:val="24"/>
          <w:lang w:bidi="ar-SA"/>
        </w:rPr>
        <w:t xml:space="preserve"> </w:t>
      </w:r>
      <w:r>
        <w:rPr>
          <w:sz w:val="24"/>
          <w:lang w:bidi="ar-SA"/>
        </w:rPr>
        <w:t>5</w:t>
      </w:r>
      <w:r>
        <w:rPr>
          <w:rFonts w:cs="宋体" w:ascii="宋体" w:hAnsi="宋体"/>
          <w:sz w:val="24"/>
          <w:lang w:bidi="ar-SA"/>
        </w:rPr>
        <w:t xml:space="preserve"> </w:t>
      </w:r>
      <w:r>
        <w:rPr>
          <w:rFonts w:ascii="宋体" w:hAnsi="宋体" w:cs="宋体"/>
          <w:sz w:val="24"/>
          <w:lang w:bidi="ar-SA"/>
        </w:rPr>
        <w:t>毫米的间隙。截骨的碎片用三种不同的固定系统桥接。根据模拟对称咬合（切牙</w:t>
      </w:r>
      <w:r>
        <w:rPr>
          <w:sz w:val="24"/>
          <w:lang w:bidi="ar-SA"/>
        </w:rPr>
        <w:t>20 N</w:t>
      </w:r>
      <w:r>
        <w:rPr>
          <w:rFonts w:ascii="宋体" w:hAnsi="宋体" w:cs="宋体"/>
          <w:sz w:val="24"/>
          <w:lang w:bidi="ar-SA"/>
        </w:rPr>
        <w:t>）和非对称咬合（磨牙</w:t>
      </w:r>
      <w:r>
        <w:rPr>
          <w:sz w:val="24"/>
          <w:lang w:bidi="ar-SA"/>
        </w:rPr>
        <w:t>80 N</w:t>
      </w:r>
      <w:r>
        <w:rPr>
          <w:rFonts w:ascii="宋体" w:hAnsi="宋体" w:cs="宋体"/>
          <w:sz w:val="24"/>
          <w:lang w:bidi="ar-SA"/>
        </w:rPr>
        <w:t>）后截骨段的位移值，作者得出结论，最稳定的桥接可以通过双皮质螺钉固定获得，这与另一项</w:t>
      </w:r>
      <w:r>
        <w:rPr>
          <w:sz w:val="24"/>
          <w:lang w:bidi="ar-SA"/>
        </w:rPr>
        <w:t xml:space="preserve"> </w:t>
      </w:r>
      <w:r>
        <w:rPr>
          <w:sz w:val="24"/>
          <w:lang w:bidi="ar-SA"/>
        </w:rPr>
        <w:t>FEA</w:t>
      </w:r>
      <w:r>
        <w:rPr>
          <w:rFonts w:ascii="宋体" w:hAnsi="宋体" w:cs="宋体"/>
          <w:sz w:val="24"/>
          <w:lang w:bidi="ar-SA"/>
        </w:rPr>
        <w:t xml:space="preserve">研究一致，该研究使用 </w:t>
      </w:r>
      <w:r>
        <w:rPr>
          <w:sz w:val="24"/>
          <w:lang w:bidi="ar-SA"/>
        </w:rPr>
        <w:t>2.0mm</w:t>
      </w:r>
      <w:r>
        <w:rPr>
          <w:rFonts w:ascii="宋体" w:hAnsi="宋体" w:cs="宋体"/>
          <w:sz w:val="24"/>
          <w:lang w:bidi="ar-SA"/>
        </w:rPr>
        <w:t>拉力螺钉以三角形配置放置，与另一种刚性固定方法相比，提供了最充分的稳定性和较少的截骨部位应力场</w:t>
      </w:r>
      <w:r>
        <w:rPr>
          <w:rFonts w:cs="宋体" w:ascii="宋体" w:hAnsi="宋体"/>
          <w:sz w:val="24"/>
          <w:vertAlign w:val="superscript"/>
          <w:lang w:bidi="ar-SA"/>
        </w:rPr>
        <w:t>[27]</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反映双颌截骨术（一种针对上下颌畸形患者的更复杂的手术）的</w:t>
      </w:r>
      <w:r>
        <w:rPr>
          <w:sz w:val="24"/>
          <w:lang w:bidi="ar-SA"/>
        </w:rPr>
        <w:t>FEA</w:t>
      </w:r>
      <w:r>
        <w:rPr>
          <w:rFonts w:ascii="宋体" w:hAnsi="宋体" w:cs="宋体"/>
          <w:sz w:val="24"/>
          <w:lang w:bidi="ar-SA"/>
        </w:rPr>
        <w:t>进行了研究。例如，</w:t>
      </w:r>
      <w:r>
        <w:rPr>
          <w:sz w:val="24"/>
          <w:lang w:bidi="ar-SA"/>
        </w:rPr>
        <w:t>Fujii</w:t>
      </w:r>
      <w:r>
        <w:rPr>
          <w:rFonts w:ascii="宋体" w:hAnsi="宋体" w:cs="宋体"/>
          <w:sz w:val="24"/>
          <w:lang w:bidi="ar-SA"/>
        </w:rPr>
        <w:t>等人在一组</w:t>
      </w:r>
      <w:r>
        <w:rPr>
          <w:sz w:val="24"/>
          <w:lang w:bidi="ar-SA"/>
        </w:rPr>
        <w:t>50</w:t>
      </w:r>
      <w:r>
        <w:rPr>
          <w:rFonts w:ascii="宋体" w:hAnsi="宋体" w:cs="宋体"/>
          <w:sz w:val="24"/>
          <w:lang w:bidi="ar-SA"/>
        </w:rPr>
        <w:t>名符合双颌截骨术条件的患者中验证了</w:t>
      </w:r>
      <w:r>
        <w:rPr>
          <w:sz w:val="24"/>
          <w:lang w:bidi="ar-SA"/>
        </w:rPr>
        <w:t>FEA</w:t>
      </w:r>
      <w:r>
        <w:rPr>
          <w:rFonts w:ascii="宋体" w:hAnsi="宋体" w:cs="宋体"/>
          <w:sz w:val="24"/>
          <w:lang w:bidi="ar-SA"/>
        </w:rPr>
        <w:t>可以用来模拟</w:t>
      </w:r>
      <w:r>
        <w:rPr>
          <w:sz w:val="24"/>
          <w:lang w:bidi="ar-SA"/>
        </w:rPr>
        <w:t>LeFort I</w:t>
      </w:r>
      <w:r>
        <w:rPr>
          <w:rFonts w:ascii="宋体" w:hAnsi="宋体" w:cs="宋体"/>
          <w:sz w:val="24"/>
          <w:lang w:bidi="ar-SA"/>
        </w:rPr>
        <w:t>手术过程中不涉及弯曲截骨刀的翼上颌分离</w:t>
      </w:r>
      <w:r>
        <w:rPr>
          <w:sz w:val="24"/>
          <w:lang w:bidi="ar-SA"/>
        </w:rPr>
        <w:t xml:space="preserve"> </w:t>
      </w:r>
      <w:r>
        <w:rPr>
          <w:sz w:val="24"/>
          <w:lang w:bidi="ar-SA"/>
        </w:rPr>
        <w:t>(LF1-non-COSep)</w:t>
      </w:r>
      <w:r>
        <w:rPr>
          <w:rFonts w:ascii="宋体" w:hAnsi="宋体" w:cs="宋体"/>
          <w:sz w:val="24"/>
          <w:lang w:bidi="ar-SA"/>
        </w:rPr>
        <w:t>，并预测在延长切割线后治疗效果的变化。使用术前图像数据，作者创建了面中部个性化数字模型。</w:t>
      </w:r>
      <w:r>
        <w:rPr>
          <w:sz w:val="24"/>
          <w:lang w:bidi="ar-SA"/>
        </w:rPr>
        <w:t>Young</w:t>
      </w:r>
      <w:r>
        <w:rPr>
          <w:rFonts w:ascii="宋体" w:hAnsi="宋体" w:cs="宋体"/>
          <w:sz w:val="24"/>
          <w:lang w:bidi="ar-SA"/>
        </w:rPr>
        <w:t xml:space="preserve">模量是根据 </w:t>
      </w:r>
      <w:r>
        <w:rPr>
          <w:sz w:val="24"/>
          <w:lang w:bidi="ar-SA"/>
        </w:rPr>
        <w:t>CBCT</w:t>
      </w:r>
      <w:r>
        <w:rPr>
          <w:rFonts w:ascii="宋体" w:hAnsi="宋体" w:cs="宋体"/>
          <w:sz w:val="24"/>
          <w:lang w:bidi="ar-SA"/>
        </w:rPr>
        <w:t>确定的骨密度为每个体素计算的。然后，计划虚拟切割线，并模拟在截骨裂中使用</w:t>
      </w:r>
      <w:r>
        <w:rPr>
          <w:sz w:val="24"/>
          <w:lang w:bidi="ar-SA"/>
        </w:rPr>
        <w:t>Tessier</w:t>
      </w:r>
      <w:r>
        <w:rPr>
          <w:rFonts w:ascii="宋体" w:hAnsi="宋体" w:cs="宋体"/>
          <w:sz w:val="24"/>
          <w:lang w:bidi="ar-SA"/>
        </w:rPr>
        <w:t>扩展器以</w:t>
      </w:r>
      <w:r>
        <w:rPr>
          <w:sz w:val="24"/>
          <w:lang w:bidi="ar-SA"/>
        </w:rPr>
        <w:t>150 N</w:t>
      </w:r>
      <w:r>
        <w:rPr>
          <w:rFonts w:ascii="宋体" w:hAnsi="宋体" w:cs="宋体"/>
          <w:sz w:val="24"/>
          <w:lang w:bidi="ar-SA"/>
        </w:rPr>
        <w:t>的负荷打开时产生的翼上颌分离。基于在翼上颌连接处预测的最大应力累积，作者确定了三种类型的分离。</w:t>
      </w:r>
      <w:r>
        <w:rPr>
          <w:sz w:val="24"/>
          <w:lang w:bidi="ar-SA"/>
        </w:rPr>
        <w:t>FEA</w:t>
      </w:r>
      <w:r>
        <w:rPr>
          <w:rFonts w:ascii="宋体" w:hAnsi="宋体" w:cs="宋体"/>
          <w:sz w:val="24"/>
          <w:lang w:bidi="ar-SA"/>
        </w:rPr>
        <w:t>预测的翼上颌分离部位与术后</w:t>
      </w:r>
      <w:r>
        <w:rPr>
          <w:sz w:val="24"/>
          <w:lang w:bidi="ar-SA"/>
        </w:rPr>
        <w:t>7</w:t>
      </w:r>
      <w:r>
        <w:rPr>
          <w:rFonts w:ascii="宋体" w:hAnsi="宋体" w:cs="宋体"/>
          <w:sz w:val="24"/>
          <w:lang w:bidi="ar-SA"/>
        </w:rPr>
        <w:t>天获得的</w:t>
      </w:r>
      <w:r>
        <w:rPr>
          <w:sz w:val="24"/>
          <w:lang w:bidi="ar-SA"/>
        </w:rPr>
        <w:t>LF1-non-COSep</w:t>
      </w:r>
      <w:r>
        <w:rPr>
          <w:rFonts w:cs="宋体" w:ascii="宋体" w:hAnsi="宋体"/>
          <w:sz w:val="24"/>
          <w:lang w:bidi="ar-SA"/>
        </w:rPr>
        <w:t xml:space="preserve"> </w:t>
      </w:r>
      <w:r>
        <w:rPr>
          <w:rFonts w:ascii="宋体" w:hAnsi="宋体" w:cs="宋体"/>
          <w:sz w:val="24"/>
          <w:lang w:bidi="ar-SA"/>
        </w:rPr>
        <w:t>截骨术的术后</w:t>
      </w:r>
      <w:r>
        <w:rPr>
          <w:color w:val="FF0000"/>
          <w:sz w:val="24"/>
          <w:lang w:bidi="ar-SA"/>
        </w:rPr>
        <w:t>CT</w:t>
      </w:r>
      <w:r>
        <w:rPr>
          <w:rFonts w:ascii="宋体" w:hAnsi="宋体" w:cs="宋体"/>
          <w:sz w:val="24"/>
          <w:lang w:bidi="ar-SA"/>
        </w:rPr>
        <w:t>图像上观察到的实际分离部位之间的符合率为</w:t>
      </w:r>
      <w:r>
        <w:rPr>
          <w:sz w:val="24"/>
          <w:lang w:bidi="ar-SA"/>
        </w:rPr>
        <w:t xml:space="preserve"> </w:t>
      </w:r>
      <w:r>
        <w:rPr>
          <w:sz w:val="24"/>
          <w:lang w:bidi="ar-SA"/>
        </w:rPr>
        <w:t>87%</w:t>
      </w:r>
      <w:r>
        <w:rPr>
          <w:rFonts w:ascii="宋体" w:hAnsi="宋体" w:cs="宋体"/>
          <w:sz w:val="24"/>
          <w:lang w:bidi="ar-SA"/>
        </w:rPr>
        <w:t>，这证实了</w:t>
      </w:r>
      <w:r>
        <w:rPr>
          <w:sz w:val="24"/>
          <w:lang w:bidi="ar-SA"/>
        </w:rPr>
        <w:t>FEA</w:t>
      </w:r>
      <w:r>
        <w:rPr>
          <w:rFonts w:ascii="宋体" w:hAnsi="宋体" w:cs="宋体"/>
          <w:sz w:val="24"/>
          <w:lang w:bidi="ar-SA"/>
        </w:rPr>
        <w:t>在正颌外科中的可靠性。此外，</w:t>
      </w:r>
      <w:r>
        <w:rPr>
          <w:sz w:val="24"/>
          <w:lang w:bidi="ar-SA"/>
        </w:rPr>
        <w:t>FEA</w:t>
      </w:r>
      <w:r>
        <w:rPr>
          <w:rFonts w:ascii="宋体" w:hAnsi="宋体" w:cs="宋体"/>
          <w:sz w:val="24"/>
          <w:lang w:bidi="ar-SA"/>
        </w:rPr>
        <w:t>表明，将切割线延伸到上颌结节与翼突骨折的发生率较高相关</w:t>
      </w:r>
      <w:r>
        <w:rPr>
          <w:rFonts w:cs="宋体" w:ascii="宋体" w:hAnsi="宋体"/>
          <w:sz w:val="24"/>
          <w:vertAlign w:val="superscript"/>
          <w:lang w:bidi="ar-SA"/>
        </w:rPr>
        <w:t>[28]</w:t>
      </w:r>
      <w:r>
        <w:rPr>
          <w:rFonts w:ascii="宋体" w:hAnsi="宋体" w:cs="宋体"/>
          <w:sz w:val="24"/>
          <w:lang w:bidi="ar-SA"/>
        </w:rPr>
        <w:t>，这对临床医生来说是有价值的信息。</w:t>
      </w:r>
    </w:p>
    <w:p>
      <w:pPr>
        <w:pStyle w:val="Normal"/>
        <w:spacing w:lineRule="exact" w:line="420"/>
        <w:ind w:firstLine="480"/>
        <w:rPr>
          <w:rFonts w:ascii="宋体" w:hAnsi="宋体" w:cs="宋体"/>
          <w:sz w:val="24"/>
        </w:rPr>
      </w:pPr>
      <w:r>
        <w:rPr>
          <w:rFonts w:ascii="宋体" w:hAnsi="宋体" w:cs="宋体"/>
          <w:sz w:val="24"/>
          <w:lang w:bidi="ar-SA"/>
        </w:rPr>
        <w:t xml:space="preserve">在面中部狭窄的患者中，经常进行的正颌手术是手术辅助腭扩张。通过有限元方法模拟了经历 </w:t>
      </w:r>
      <w:r>
        <w:rPr>
          <w:sz w:val="24"/>
          <w:lang w:bidi="ar-SA"/>
        </w:rPr>
        <w:t>SARPE</w:t>
      </w:r>
      <w:r>
        <w:rPr>
          <w:rFonts w:cs="宋体" w:ascii="宋体" w:hAnsi="宋体"/>
          <w:sz w:val="24"/>
          <w:lang w:bidi="ar-SA"/>
        </w:rPr>
        <w:t xml:space="preserve"> </w:t>
      </w:r>
      <w:r>
        <w:rPr>
          <w:rFonts w:ascii="宋体" w:hAnsi="宋体" w:cs="宋体"/>
          <w:sz w:val="24"/>
          <w:lang w:bidi="ar-SA"/>
        </w:rPr>
        <w:t xml:space="preserve">的上颌张力分布，发现颧骨上颌支柱和翼上颌分离中的步骤似乎对于减少 </w:t>
      </w:r>
      <w:r>
        <w:rPr>
          <w:sz w:val="24"/>
          <w:lang w:bidi="ar-SA"/>
        </w:rPr>
        <w:t>SARPE</w:t>
      </w:r>
      <w:r>
        <w:rPr>
          <w:rFonts w:cs="宋体" w:ascii="宋体" w:hAnsi="宋体"/>
          <w:sz w:val="24"/>
          <w:lang w:bidi="ar-SA"/>
        </w:rPr>
        <w:t xml:space="preserve"> </w:t>
      </w:r>
      <w:r>
        <w:rPr>
          <w:rFonts w:ascii="宋体" w:hAnsi="宋体" w:cs="宋体"/>
          <w:sz w:val="24"/>
          <w:lang w:bidi="ar-SA"/>
        </w:rPr>
        <w:t>期间的有害张力耗散非常重要</w:t>
      </w:r>
      <w:r>
        <w:rPr>
          <w:rFonts w:cs="宋体" w:ascii="宋体" w:hAnsi="宋体"/>
          <w:sz w:val="24"/>
          <w:vertAlign w:val="superscript"/>
          <w:lang w:bidi="ar-SA"/>
        </w:rPr>
        <w:t>[29]</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在具有较大颌部缺陷的患者中，即使制定治疗方案也可能既困难又耗时。因此，</w:t>
      </w:r>
      <w:r>
        <w:rPr>
          <w:sz w:val="24"/>
          <w:lang w:bidi="ar-SA"/>
        </w:rPr>
        <w:t xml:space="preserve"> </w:t>
      </w:r>
      <w:r>
        <w:rPr>
          <w:sz w:val="24"/>
          <w:lang w:bidi="ar-SA"/>
        </w:rPr>
        <w:t>Cevidanes</w:t>
      </w:r>
      <w:r>
        <w:rPr>
          <w:rFonts w:ascii="宋体" w:hAnsi="宋体" w:cs="宋体"/>
          <w:sz w:val="24"/>
          <w:lang w:bidi="ar-SA"/>
        </w:rPr>
        <w:t>等人展示了一个计算机辅助手术系统，该系统包括从患者的</w:t>
      </w:r>
      <w:r>
        <w:rPr>
          <w:sz w:val="24"/>
          <w:lang w:bidi="ar-SA"/>
        </w:rPr>
        <w:t>CBCT</w:t>
      </w:r>
      <w:r>
        <w:rPr>
          <w:rFonts w:ascii="宋体" w:hAnsi="宋体" w:cs="宋体"/>
          <w:sz w:val="24"/>
          <w:lang w:bidi="ar-SA"/>
        </w:rPr>
        <w:t>构建三维模型、动态头影测量、半自动镜像、正颌手术的交互式骨切割和骨段重新定位，并指出</w:t>
      </w:r>
      <w:r>
        <w:rPr>
          <w:sz w:val="24"/>
          <w:lang w:bidi="ar-SA"/>
        </w:rPr>
        <w:t>FEA</w:t>
      </w:r>
      <w:r>
        <w:rPr>
          <w:rFonts w:ascii="宋体" w:hAnsi="宋体" w:cs="宋体"/>
          <w:sz w:val="24"/>
          <w:lang w:bidi="ar-SA"/>
        </w:rPr>
        <w:t>模型最有可能提供可靠的模拟，模拟由骨骼重塑引起面部软组织的改变</w:t>
      </w:r>
      <w:r>
        <w:rPr>
          <w:rFonts w:cs="宋体" w:ascii="宋体" w:hAnsi="宋体"/>
          <w:sz w:val="24"/>
          <w:vertAlign w:val="superscript"/>
          <w:lang w:bidi="ar-SA"/>
        </w:rPr>
        <w:t>[30]</w:t>
      </w:r>
      <w:r>
        <w:rPr>
          <w:rFonts w:ascii="宋体" w:hAnsi="宋体" w:cs="宋体"/>
          <w:sz w:val="24"/>
          <w:lang w:bidi="ar-SA"/>
        </w:rPr>
        <w:t>。</w:t>
      </w:r>
      <w:r>
        <w:rPr>
          <w:sz w:val="24"/>
          <w:lang w:bidi="ar-SA"/>
        </w:rPr>
        <w:t>Knoops</w:t>
      </w:r>
      <w:r>
        <w:rPr>
          <w:rFonts w:ascii="宋体" w:hAnsi="宋体" w:cs="宋体"/>
          <w:sz w:val="24"/>
          <w:lang w:bidi="ar-SA"/>
        </w:rPr>
        <w:t>等人通过比较几种可用的计算机程序和一个概率有限元方法</w:t>
      </w:r>
      <w:r>
        <w:rPr>
          <w:sz w:val="24"/>
          <w:lang w:bidi="ar-SA"/>
        </w:rPr>
        <w:t>(PFEM)</w:t>
      </w:r>
      <w:r>
        <w:rPr>
          <w:rFonts w:ascii="宋体" w:hAnsi="宋体" w:cs="宋体"/>
          <w:sz w:val="24"/>
          <w:lang w:bidi="ar-SA"/>
        </w:rPr>
        <w:t>在接受单颌</w:t>
      </w:r>
      <w:r>
        <w:rPr>
          <w:sz w:val="24"/>
          <w:lang w:bidi="ar-SA"/>
        </w:rPr>
        <w:t>LeFort I</w:t>
      </w:r>
      <w:r>
        <w:rPr>
          <w:rFonts w:ascii="宋体" w:hAnsi="宋体" w:cs="宋体"/>
          <w:sz w:val="24"/>
          <w:lang w:bidi="ar-SA"/>
        </w:rPr>
        <w:t>上颌前移和垂直重新定位的患者中软组织预测的准确性，证实了这一论点，并得出结论，</w:t>
      </w:r>
      <w:r>
        <w:rPr>
          <w:sz w:val="24"/>
          <w:lang w:bidi="ar-SA"/>
        </w:rPr>
        <w:t>PFEM</w:t>
      </w:r>
      <w:r>
        <w:rPr>
          <w:rFonts w:ascii="宋体" w:hAnsi="宋体" w:cs="宋体"/>
          <w:sz w:val="24"/>
          <w:lang w:bidi="ar-SA"/>
        </w:rPr>
        <w:t>确实可以提供准确的软组织预测，因此在术前患者沟通时可能会有用</w:t>
      </w:r>
      <w:r>
        <w:rPr>
          <w:rFonts w:cs="宋体" w:ascii="宋体" w:hAnsi="宋体"/>
          <w:sz w:val="24"/>
          <w:vertAlign w:val="superscript"/>
          <w:lang w:bidi="ar-SA"/>
        </w:rPr>
        <w:t>[31]</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考虑到</w:t>
      </w:r>
      <w:r>
        <w:rPr>
          <w:sz w:val="24"/>
          <w:lang w:bidi="ar-SA"/>
        </w:rPr>
        <w:t>FEA</w:t>
      </w:r>
      <w:r>
        <w:rPr>
          <w:rFonts w:ascii="宋体" w:hAnsi="宋体" w:cs="宋体"/>
          <w:sz w:val="24"/>
          <w:lang w:bidi="ar-SA"/>
        </w:rPr>
        <w:t>提供的可能性，不仅与软组织有关，也与硬组织有关，可以预期</w:t>
      </w:r>
      <w:r>
        <w:rPr>
          <w:sz w:val="24"/>
          <w:lang w:bidi="ar-SA"/>
        </w:rPr>
        <w:t>FEA</w:t>
      </w:r>
      <w:r>
        <w:rPr>
          <w:rFonts w:ascii="宋体" w:hAnsi="宋体" w:cs="宋体"/>
          <w:sz w:val="24"/>
          <w:lang w:bidi="ar-SA"/>
        </w:rPr>
        <w:t>在未来的应用范围将扩大，以实施更复杂和个性化的解决方案，涉及精确的截骨线定位和固定元件的类型、数量和放置的选择，以预测计划正颌手术的视觉效果和生物力学结果。</w:t>
      </w:r>
    </w:p>
    <w:p>
      <w:pPr>
        <w:pStyle w:val="Normal"/>
        <w:spacing w:lineRule="exact" w:line="420"/>
        <w:rPr>
          <w:rFonts w:ascii="宋体" w:hAnsi="宋体" w:cs="宋体"/>
          <w:sz w:val="24"/>
        </w:rPr>
      </w:pPr>
      <w:r>
        <w:rPr>
          <w:rFonts w:cs="宋体" w:ascii="宋体" w:hAnsi="宋体"/>
          <w:sz w:val="24"/>
          <w:lang w:bidi="ar-SA"/>
        </w:rPr>
        <w:t xml:space="preserve">3 </w:t>
      </w:r>
      <w:r>
        <w:rPr>
          <w:rFonts w:ascii="宋体" w:hAnsi="宋体" w:cs="宋体"/>
          <w:sz w:val="24"/>
          <w:lang w:bidi="ar-SA"/>
        </w:rPr>
        <w:t>重建外科</w:t>
      </w:r>
    </w:p>
    <w:p>
      <w:pPr>
        <w:pStyle w:val="Normal"/>
        <w:spacing w:lineRule="exact" w:line="420"/>
        <w:ind w:firstLine="480"/>
        <w:rPr>
          <w:rFonts w:ascii="宋体" w:hAnsi="宋体" w:cs="宋体"/>
          <w:sz w:val="24"/>
        </w:rPr>
      </w:pPr>
      <w:r>
        <w:rPr>
          <w:sz w:val="24"/>
          <w:lang w:bidi="ar-SA"/>
        </w:rPr>
        <w:t>FEA</w:t>
      </w:r>
      <w:r>
        <w:rPr>
          <w:rFonts w:ascii="宋体" w:hAnsi="宋体" w:cs="宋体"/>
          <w:sz w:val="24"/>
          <w:lang w:bidi="ar-SA"/>
        </w:rPr>
        <w:t>也可以用于在广泛切除后重建颌骨，通常是由于肿瘤学指征。从术后管理的角度来看，移除骨段的尺寸、形状和位置是关键参数。填充上颌或下颌中的骨缺损应该恢复其完整性和特征性曲线，并为颞下颌系统的进一步康复创造有利条件。使用数字技术，研究人员可以比较骨移植物界面处的应力水平，以确定在特定临床条件下最合适的移植类型</w:t>
      </w:r>
      <w:r>
        <w:rPr>
          <w:rFonts w:cs="宋体" w:ascii="宋体" w:hAnsi="宋体"/>
          <w:sz w:val="24"/>
          <w:vertAlign w:val="superscript"/>
          <w:lang w:bidi="ar-SA"/>
        </w:rPr>
        <w:t>[32]</w:t>
      </w:r>
      <w:r>
        <w:rPr>
          <w:rFonts w:ascii="宋体" w:hAnsi="宋体" w:cs="宋体"/>
          <w:sz w:val="24"/>
          <w:lang w:bidi="ar-SA"/>
        </w:rPr>
        <w:t>，并找到在重建区域进行适当骨融合的最有利条件</w:t>
      </w:r>
      <w:r>
        <w:rPr>
          <w:rFonts w:cs="宋体" w:ascii="宋体" w:hAnsi="宋体"/>
          <w:sz w:val="24"/>
          <w:vertAlign w:val="superscript"/>
          <w:lang w:bidi="ar-SA"/>
        </w:rPr>
        <w:t>[33]</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在重建外科中，使用最先进虚拟建模、模拟和分析方法的彻底和准确的术前计划不仅可以提高手术结果，而且可以显着缩短手术时间，还可以使操作者能够预测重建区域在暴露于各种类型负荷后的行为。此外，市场上可用的标准内固定元件可能无法在更复杂的情况下提供准确的重建。在这种情况下，患者的</w:t>
      </w:r>
      <w:r>
        <w:rPr>
          <w:sz w:val="24"/>
          <w:lang w:bidi="ar-SA"/>
        </w:rPr>
        <w:t>CT</w:t>
      </w:r>
      <w:r>
        <w:rPr>
          <w:rFonts w:ascii="宋体" w:hAnsi="宋体" w:cs="宋体"/>
          <w:sz w:val="24"/>
          <w:lang w:bidi="ar-SA"/>
        </w:rPr>
        <w:t>图像可以作为重建区域的个性化数字模型的基础，然后使用</w:t>
      </w:r>
      <w:r>
        <w:rPr>
          <w:sz w:val="24"/>
          <w:lang w:bidi="ar-SA"/>
        </w:rPr>
        <w:t>FEA</w:t>
      </w:r>
      <w:r>
        <w:rPr>
          <w:rFonts w:ascii="宋体" w:hAnsi="宋体" w:cs="宋体"/>
          <w:sz w:val="24"/>
          <w:lang w:bidi="ar-SA"/>
        </w:rPr>
        <w:t>设计量身定制的桥接元件并测试其适用性</w:t>
      </w:r>
      <w:r>
        <w:rPr>
          <w:rFonts w:cs="宋体" w:ascii="宋体" w:hAnsi="宋体"/>
          <w:sz w:val="24"/>
          <w:vertAlign w:val="superscript"/>
          <w:lang w:bidi="ar-SA"/>
        </w:rPr>
        <w:t>[34]</w:t>
      </w:r>
      <w:r>
        <w:rPr>
          <w:rFonts w:ascii="宋体" w:hAnsi="宋体" w:cs="宋体"/>
          <w:sz w:val="24"/>
          <w:lang w:bidi="ar-SA"/>
        </w:rPr>
        <w:t>。</w:t>
      </w:r>
    </w:p>
    <w:p>
      <w:pPr>
        <w:pStyle w:val="Normal"/>
        <w:spacing w:lineRule="exact" w:line="420"/>
        <w:ind w:firstLine="480"/>
        <w:rPr>
          <w:rFonts w:ascii="宋体" w:hAnsi="宋体" w:cs="宋体"/>
          <w:sz w:val="24"/>
        </w:rPr>
      </w:pPr>
      <w:r>
        <w:rPr>
          <w:rFonts w:ascii="宋体" w:hAnsi="宋体" w:cs="宋体"/>
          <w:sz w:val="24"/>
          <w:lang w:bidi="ar-SA"/>
        </w:rPr>
        <w:t>当使用</w:t>
      </w:r>
      <w:r>
        <w:rPr>
          <w:sz w:val="24"/>
          <w:lang w:bidi="ar-SA"/>
        </w:rPr>
        <w:t>FEA</w:t>
      </w:r>
      <w:r>
        <w:rPr>
          <w:rFonts w:ascii="宋体" w:hAnsi="宋体" w:cs="宋体"/>
          <w:sz w:val="24"/>
          <w:lang w:bidi="ar-SA"/>
        </w:rPr>
        <w:t>指出骨结构与机械应力之间的关系时，关于机械负荷对细胞分化和组织发育影响的研究就蓬勃发展起来，特别是在骨骼组织工程支架领域</w:t>
      </w:r>
      <w:r>
        <w:rPr>
          <w:rFonts w:cs="宋体" w:ascii="宋体" w:hAnsi="宋体"/>
          <w:sz w:val="24"/>
          <w:vertAlign w:val="superscript"/>
          <w:lang w:bidi="ar-SA"/>
        </w:rPr>
        <w:t>[35]</w:t>
      </w:r>
      <w:r>
        <w:rPr>
          <w:rFonts w:ascii="宋体" w:hAnsi="宋体" w:cs="宋体"/>
          <w:sz w:val="24"/>
          <w:lang w:bidi="ar-SA"/>
        </w:rPr>
        <w:t xml:space="preserve">。支架的不同结构配置和孔隙率对应力和应变的分布影响是几项 </w:t>
      </w:r>
      <w:r>
        <w:rPr>
          <w:rFonts w:cs="宋体" w:ascii="宋体" w:hAnsi="宋体"/>
          <w:sz w:val="24"/>
          <w:lang w:bidi="ar-SA"/>
        </w:rPr>
        <w:t xml:space="preserve">FEA </w:t>
      </w:r>
      <w:r>
        <w:rPr>
          <w:rFonts w:ascii="宋体" w:hAnsi="宋体" w:cs="宋体"/>
          <w:sz w:val="24"/>
          <w:lang w:bidi="ar-SA"/>
        </w:rPr>
        <w:t>研究的问题</w:t>
      </w:r>
      <w:r>
        <w:rPr>
          <w:rFonts w:cs="宋体" w:ascii="宋体" w:hAnsi="宋体"/>
          <w:sz w:val="24"/>
          <w:vertAlign w:val="superscript"/>
          <w:lang w:bidi="ar-SA"/>
        </w:rPr>
        <w:t>[36, 37]</w:t>
      </w:r>
      <w:r>
        <w:rPr>
          <w:rFonts w:ascii="宋体" w:hAnsi="宋体" w:cs="宋体"/>
          <w:sz w:val="24"/>
          <w:lang w:bidi="ar-SA"/>
        </w:rPr>
        <w:t>。</w:t>
      </w:r>
      <w:r>
        <w:rPr>
          <w:sz w:val="24"/>
          <w:lang w:bidi="ar-SA"/>
        </w:rPr>
        <w:t>Hu</w:t>
      </w:r>
      <w:r>
        <w:rPr>
          <w:rFonts w:ascii="宋体" w:hAnsi="宋体" w:cs="宋体"/>
          <w:sz w:val="24"/>
          <w:lang w:bidi="ar-SA"/>
        </w:rPr>
        <w:t>等人使用一名</w:t>
      </w:r>
      <w:r>
        <w:rPr>
          <w:sz w:val="24"/>
          <w:lang w:bidi="ar-SA"/>
        </w:rPr>
        <w:t>50</w:t>
      </w:r>
      <w:r>
        <w:rPr>
          <w:rFonts w:ascii="宋体" w:hAnsi="宋体" w:cs="宋体"/>
          <w:sz w:val="24"/>
          <w:lang w:bidi="ar-SA"/>
        </w:rPr>
        <w:t>岁无牙患者的</w:t>
      </w:r>
      <w:r>
        <w:rPr>
          <w:sz w:val="24"/>
          <w:lang w:bidi="ar-SA"/>
        </w:rPr>
        <w:t>CBCT</w:t>
      </w:r>
      <w:r>
        <w:rPr>
          <w:rFonts w:ascii="宋体" w:hAnsi="宋体" w:cs="宋体"/>
          <w:sz w:val="24"/>
          <w:lang w:bidi="ar-SA"/>
        </w:rPr>
        <w:t>图像重建下颌的三维模型，并创建了一个</w:t>
      </w:r>
      <w:r>
        <w:rPr>
          <w:sz w:val="24"/>
          <w:lang w:bidi="ar-SA"/>
        </w:rPr>
        <w:t>FEA</w:t>
      </w:r>
      <w:r>
        <w:rPr>
          <w:rFonts w:ascii="宋体" w:hAnsi="宋体" w:cs="宋体"/>
          <w:sz w:val="24"/>
          <w:lang w:bidi="ar-SA"/>
        </w:rPr>
        <w:t>模型，其中下颌体的一部分被虚拟擦除。将下颌模型视为非均质材料，并根据骨质量密度和</w:t>
      </w:r>
      <w:r>
        <w:rPr>
          <w:sz w:val="24"/>
          <w:lang w:bidi="ar-SA"/>
        </w:rPr>
        <w:t>Hounsfield</w:t>
      </w:r>
      <w:r>
        <w:rPr>
          <w:rFonts w:ascii="宋体" w:hAnsi="宋体" w:cs="宋体"/>
          <w:sz w:val="24"/>
          <w:lang w:bidi="ar-SA"/>
        </w:rPr>
        <w:t>单位进行骨弹性模量计算。设计了三种类型的孔隙支架移植物来重建被擦除的区域。随后，使用聚乳酸材料使用熔融沉积建模</w:t>
      </w:r>
      <w:r>
        <w:rPr>
          <w:sz w:val="24"/>
          <w:lang w:bidi="ar-SA"/>
        </w:rPr>
        <w:t>3D</w:t>
      </w:r>
      <w:r>
        <w:rPr>
          <w:rFonts w:ascii="宋体" w:hAnsi="宋体" w:cs="宋体"/>
          <w:sz w:val="24"/>
          <w:lang w:bidi="ar-SA"/>
        </w:rPr>
        <w:t>打印机制造移植物。在物理模型测试和有限元分析中比较了极限载荷、屈服载荷、失效挠度和屈服挠度。结果表明，拓扑优化的移植物具有最佳的机械性能。作者还强调了数值模拟和</w:t>
      </w:r>
      <w:r>
        <w:rPr>
          <w:sz w:val="24"/>
          <w:lang w:bidi="ar-SA"/>
        </w:rPr>
        <w:t>3D</w:t>
      </w:r>
      <w:r>
        <w:rPr>
          <w:rFonts w:ascii="宋体" w:hAnsi="宋体" w:cs="宋体"/>
          <w:sz w:val="24"/>
          <w:lang w:bidi="ar-SA"/>
        </w:rPr>
        <w:t>打印技术在人工多孔移植物设计和制造中的巨大潜力</w:t>
      </w:r>
      <w:r>
        <w:rPr>
          <w:rFonts w:cs="宋体" w:ascii="宋体" w:hAnsi="宋体"/>
          <w:sz w:val="24"/>
          <w:vertAlign w:val="superscript"/>
          <w:lang w:bidi="ar-SA"/>
        </w:rPr>
        <w:t>[37]</w:t>
      </w:r>
      <w:r>
        <w:rPr>
          <w:rFonts w:ascii="宋体" w:hAnsi="宋体" w:cs="宋体"/>
          <w:sz w:val="24"/>
          <w:lang w:bidi="ar-SA"/>
        </w:rPr>
        <w:t>。</w:t>
      </w:r>
    </w:p>
    <w:p>
      <w:pPr>
        <w:pStyle w:val="Normal"/>
        <w:spacing w:lineRule="exact" w:line="420"/>
        <w:rPr>
          <w:rFonts w:ascii="宋体" w:hAnsi="宋体" w:cs="宋体"/>
          <w:sz w:val="24"/>
        </w:rPr>
      </w:pPr>
      <w:r>
        <w:rPr>
          <w:rFonts w:cs="宋体" w:ascii="宋体" w:hAnsi="宋体"/>
          <w:sz w:val="24"/>
          <w:lang w:bidi="ar-SA"/>
        </w:rPr>
        <w:t xml:space="preserve">4 </w:t>
      </w:r>
      <w:r>
        <w:rPr>
          <w:rFonts w:ascii="宋体" w:hAnsi="宋体" w:cs="宋体"/>
          <w:sz w:val="24"/>
          <w:lang w:bidi="ar-SA"/>
        </w:rPr>
        <w:t>种植体学</w:t>
      </w:r>
    </w:p>
    <w:p>
      <w:pPr>
        <w:pStyle w:val="Normal"/>
        <w:spacing w:lineRule="exact" w:line="420"/>
        <w:ind w:firstLine="480"/>
        <w:rPr>
          <w:rFonts w:ascii="宋体" w:hAnsi="宋体" w:cs="宋体"/>
          <w:sz w:val="24"/>
        </w:rPr>
      </w:pPr>
      <w:r>
        <w:rPr>
          <w:rFonts w:ascii="宋体" w:hAnsi="宋体" w:cs="宋体"/>
          <w:sz w:val="24"/>
          <w:lang w:bidi="ar-SA"/>
        </w:rPr>
        <w:t>正确评估种植体锚固部位的骨条件和承载能力是种植修复治疗成功结果的决定因素。只有在理想的生物力学条件下才能获得种植体、基台和上部结构的适当平衡，这些条件直接影响骨的改建。通过应用设计优化的种植体和正确建模的义齿，可以维持牙槽突的适当高度。由于</w:t>
      </w:r>
      <w:r>
        <w:rPr>
          <w:sz w:val="24"/>
          <w:lang w:bidi="ar-SA"/>
        </w:rPr>
        <w:t>FEA</w:t>
      </w:r>
      <w:r>
        <w:rPr>
          <w:rFonts w:cs="宋体" w:ascii="宋体" w:hAnsi="宋体"/>
          <w:sz w:val="24"/>
          <w:lang w:bidi="ar-SA"/>
        </w:rPr>
        <w:t xml:space="preserve"> </w:t>
      </w:r>
      <w:r>
        <w:rPr>
          <w:rFonts w:ascii="宋体" w:hAnsi="宋体" w:cs="宋体"/>
          <w:sz w:val="24"/>
          <w:lang w:bidi="ar-SA"/>
        </w:rPr>
        <w:t>提供了有关种植体表面和相邻骨表面应力分布的额外信息，因此它已成为设计骨内种植体的基本工具，并在许多以前的种植修复研究中得到应用</w:t>
      </w:r>
      <w:r>
        <w:rPr>
          <w:rFonts w:cs="宋体" w:ascii="宋体" w:hAnsi="宋体"/>
          <w:sz w:val="24"/>
          <w:vertAlign w:val="superscript"/>
          <w:lang w:bidi="ar-SA"/>
        </w:rPr>
        <w:t>[38-41]</w:t>
      </w:r>
      <w:r>
        <w:rPr>
          <w:rFonts w:ascii="宋体" w:hAnsi="宋体" w:cs="宋体"/>
          <w:sz w:val="24"/>
          <w:lang w:bidi="ar-SA"/>
        </w:rPr>
        <w:t>。</w:t>
      </w:r>
      <w:r>
        <w:rPr>
          <w:sz w:val="24"/>
          <w:lang w:bidi="ar-SA"/>
        </w:rPr>
        <w:t>FEA</w:t>
      </w:r>
      <w:r>
        <w:rPr>
          <w:rFonts w:ascii="宋体" w:hAnsi="宋体" w:cs="宋体"/>
          <w:sz w:val="24"/>
          <w:lang w:bidi="ar-SA"/>
        </w:rPr>
        <w:t>不仅用于研究锚固在上颌牙槽突或下颌牙槽突部分的种植体，还用于研究位于其他解剖结构（如颧弓）中的种植体。</w:t>
      </w:r>
      <w:r>
        <w:rPr>
          <w:sz w:val="24"/>
          <w:lang w:bidi="ar-SA"/>
        </w:rPr>
        <w:t>Ishak</w:t>
      </w:r>
      <w:r>
        <w:rPr>
          <w:rFonts w:ascii="宋体" w:hAnsi="宋体" w:cs="宋体"/>
          <w:sz w:val="24"/>
          <w:lang w:bidi="ar-SA"/>
        </w:rPr>
        <w:t>等人比较了在萎缩性上颌骨中用作完整义齿固定元件的颧骨种植体的锚固强度，这些种植体使用不同的手术方法进行锚固。使用</w:t>
      </w:r>
      <w:r>
        <w:rPr>
          <w:sz w:val="24"/>
          <w:lang w:bidi="ar-SA"/>
        </w:rPr>
        <w:t>FEA</w:t>
      </w:r>
      <w:r>
        <w:rPr>
          <w:rFonts w:ascii="宋体" w:hAnsi="宋体" w:cs="宋体"/>
          <w:sz w:val="24"/>
          <w:lang w:bidi="ar-SA"/>
        </w:rPr>
        <w:t>，作者确定，如果使用经鼻窦入路锚固的种植体固定义齿，则骨或种植体本体中的应力水平明显更高</w:t>
      </w:r>
      <w:r>
        <w:rPr>
          <w:rFonts w:cs="宋体" w:ascii="宋体" w:hAnsi="宋体"/>
          <w:sz w:val="24"/>
          <w:vertAlign w:val="superscript"/>
          <w:lang w:bidi="ar-SA"/>
        </w:rPr>
        <w:t>[42]</w:t>
      </w:r>
      <w:r>
        <w:rPr>
          <w:rFonts w:ascii="宋体" w:hAnsi="宋体" w:cs="宋体"/>
          <w:sz w:val="24"/>
          <w:lang w:bidi="ar-SA"/>
        </w:rPr>
        <w:t>。为了满足种植体学家经常面临的问题，即对于缺失上颌磨牙的患者，骨量不足，无法锚固骨内种植体，已经开发了专门用于在抬起上颌窦底时进行应力和应变研究的上颌数字模型</w:t>
      </w:r>
      <w:r>
        <w:rPr>
          <w:rFonts w:cs="宋体" w:ascii="宋体" w:hAnsi="宋体"/>
          <w:sz w:val="24"/>
          <w:vertAlign w:val="superscript"/>
          <w:lang w:bidi="ar-SA"/>
        </w:rPr>
        <w:t>[43, 44]</w:t>
      </w:r>
      <w:r>
        <w:rPr>
          <w:rFonts w:ascii="宋体" w:hAnsi="宋体" w:cs="宋体"/>
          <w:sz w:val="24"/>
          <w:lang w:bidi="ar-SA"/>
        </w:rPr>
        <w:t>。使用这些模型，。</w:t>
      </w:r>
    </w:p>
    <w:p>
      <w:pPr>
        <w:pStyle w:val="Normal"/>
        <w:spacing w:lineRule="exact" w:line="420"/>
        <w:rPr>
          <w:rFonts w:ascii="宋体" w:hAnsi="宋体" w:cs="宋体"/>
          <w:sz w:val="24"/>
        </w:rPr>
      </w:pPr>
      <w:r>
        <w:rPr>
          <w:rFonts w:cs="宋体" w:ascii="宋体" w:hAnsi="宋体"/>
          <w:sz w:val="24"/>
          <w:lang w:bidi="ar-SA"/>
        </w:rPr>
        <w:t xml:space="preserve">5 </w:t>
      </w:r>
      <w:r>
        <w:rPr>
          <w:rFonts w:ascii="宋体" w:hAnsi="宋体" w:cs="宋体"/>
          <w:sz w:val="24"/>
          <w:lang w:bidi="ar-SA"/>
        </w:rPr>
        <w:t>局限性和未来展望</w:t>
      </w:r>
    </w:p>
    <w:p>
      <w:pPr>
        <w:pStyle w:val="Normal"/>
        <w:spacing w:lineRule="exact" w:line="420"/>
        <w:ind w:firstLine="480"/>
        <w:rPr>
          <w:rFonts w:ascii="宋体" w:hAnsi="宋体" w:cs="宋体"/>
          <w:sz w:val="24"/>
        </w:rPr>
      </w:pPr>
      <w:r>
        <w:rPr>
          <w:rFonts w:ascii="宋体" w:hAnsi="宋体" w:cs="宋体"/>
          <w:sz w:val="24"/>
          <w:lang w:bidi="ar-SA"/>
        </w:rPr>
        <w:t>现代性的领域是时间已成为一种宝贵的商品。因此，详细的但又不耗时的实验研究，实施可预测的解决方案，使患者能够快速康复，通常会受到赞扬。根据所审查的文献，</w:t>
      </w:r>
      <w:r>
        <w:rPr>
          <w:sz w:val="24"/>
          <w:lang w:bidi="ar-SA"/>
        </w:rPr>
        <w:t>FEA</w:t>
      </w:r>
      <w:r>
        <w:rPr>
          <w:rFonts w:ascii="宋体" w:hAnsi="宋体" w:cs="宋体"/>
          <w:sz w:val="24"/>
          <w:lang w:bidi="ar-SA"/>
        </w:rPr>
        <w:t>在这方面优于大多数临床和体外研究，并具有许多优点。它有助于制定正确的研究问题并设计适当的实验。在需要考虑许多变量的复杂系统中，它允许操作单个参数，使其能够研究每个参数的影响，并提供对复杂生物力学相互作用的几乎瞬间的洞察，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学家获得了优化产品开发周期中设计过程的工具。虚拟研究与常规研究相比具有明显较低的财务负担，这一点也值得强调。</w:t>
      </w:r>
      <w:r>
        <w:rPr>
          <w:rFonts w:cs="宋体" w:ascii="宋体" w:hAnsi="宋体"/>
          <w:sz w:val="24"/>
          <w:lang w:bidi="ar-SA"/>
        </w:rPr>
        <w:t xml:space="preserve">FEA </w:t>
      </w:r>
      <w:r>
        <w:rPr>
          <w:rFonts w:ascii="宋体" w:hAnsi="宋体" w:cs="宋体"/>
          <w:sz w:val="24"/>
          <w:lang w:bidi="ar-SA"/>
        </w:rPr>
        <w:t>应力和应变分布的可视化界面清晰易懂。它绝对改善了科学家和临床医生之间的沟通和合作，鼓励他们进行进一步的研究。</w:t>
      </w:r>
    </w:p>
    <w:p>
      <w:pPr>
        <w:sectPr>
          <w:headerReference w:type="default" r:id="rId58"/>
          <w:headerReference w:type="first" r:id="rId59"/>
          <w:footerReference w:type="default" r:id="rId60"/>
          <w:footerReference w:type="first" r:id="rId61"/>
          <w:type w:val="nextPage"/>
          <w:pgSz w:w="12240" w:h="15840"/>
          <w:pgMar w:left="1800" w:right="1800" w:gutter="0" w:header="720" w:top="1440" w:footer="720" w:bottom="1440"/>
          <w:pgNumType w:fmt="decimal"/>
          <w:formProt w:val="false"/>
          <w:textDirection w:val="lrTb"/>
          <w:docGrid w:type="lines" w:linePitch="312" w:charSpace="0"/>
        </w:sectPr>
        <w:pStyle w:val="Normal"/>
        <w:spacing w:lineRule="exact" w:line="420"/>
        <w:ind w:firstLine="480"/>
        <w:rPr>
          <w:rFonts w:ascii="宋体" w:hAnsi="宋体" w:cs="宋体"/>
          <w:sz w:val="24"/>
          <w:lang w:bidi="ar-SA"/>
        </w:rPr>
      </w:pPr>
      <w:r>
        <w:rPr>
          <w:rFonts w:ascii="宋体" w:hAnsi="宋体" w:cs="宋体"/>
          <w:sz w:val="24"/>
          <w:lang w:bidi="ar-SA"/>
        </w:rPr>
        <w:t>然而，除了其众多优点之外，</w:t>
      </w:r>
      <w:r>
        <w:rPr>
          <w:rFonts w:cs="宋体" w:ascii="宋体" w:hAnsi="宋体"/>
          <w:sz w:val="24"/>
          <w:lang w:bidi="ar-SA"/>
        </w:rPr>
        <w:t xml:space="preserve">FEA </w:t>
      </w:r>
      <w:r>
        <w:rPr>
          <w:rFonts w:ascii="宋体" w:hAnsi="宋体" w:cs="宋体"/>
          <w:sz w:val="24"/>
          <w:lang w:bidi="ar-SA"/>
        </w:rPr>
        <w:t>也存在其局限性。应该注意的是，计算机化研究的条件完全由研究人员编程，因此它们总是存在偏见的风险。</w:t>
      </w:r>
      <w:r>
        <w:rPr>
          <w:sz w:val="24"/>
          <w:lang w:bidi="ar-SA"/>
        </w:rPr>
        <w:t>FEA</w:t>
      </w:r>
      <w:r>
        <w:rPr>
          <w:rFonts w:ascii="宋体" w:hAnsi="宋体" w:cs="宋体"/>
          <w:sz w:val="24"/>
          <w:lang w:bidi="ar-SA"/>
        </w:rPr>
        <w:t>最严重的局限性是简化和假设。早期模拟模型受到概括和缺乏几何精度的影响。在骨建模阶段，通常省略了一些更复杂的解剖结构，这使结果的有效性受到质疑。另一个问题是反映测试组织的形态学，而不仅仅是解剖学。在这方面，也经常采用简化方法。许多关于</w:t>
      </w:r>
      <w:r>
        <w:rPr>
          <w:sz w:val="24"/>
          <w:lang w:bidi="ar-SA"/>
        </w:rPr>
        <w:t>FEA</w:t>
      </w:r>
      <w:r>
        <w:rPr>
          <w:rFonts w:ascii="宋体" w:hAnsi="宋体" w:cs="宋体"/>
          <w:sz w:val="24"/>
          <w:lang w:bidi="ar-SA"/>
        </w:rPr>
        <w:t>研究的作者认为，区分皮质骨和松质骨无关紧要，并且通常将研究的骨骼视为同质、各向同性、线性弹性的材料</w:t>
      </w:r>
      <w:r>
        <w:rPr>
          <w:rFonts w:cs="宋体" w:ascii="宋体" w:hAnsi="宋体"/>
          <w:sz w:val="24"/>
          <w:vertAlign w:val="superscript"/>
          <w:lang w:bidi="ar-SA"/>
        </w:rPr>
        <w:t>[2, 24]</w:t>
      </w:r>
      <w:r>
        <w:rPr>
          <w:rFonts w:ascii="宋体" w:hAnsi="宋体" w:cs="宋体"/>
          <w:sz w:val="24"/>
          <w:lang w:bidi="ar-SA"/>
        </w:rPr>
        <w:t>。另一个有争议的问题是，所进行的分析在使用的材料常数方面有所不同。例如，在所讨论的文献中，皮质骨的</w:t>
      </w:r>
      <w:r>
        <w:rPr>
          <w:sz w:val="24"/>
          <w:lang w:bidi="ar-SA"/>
        </w:rPr>
        <w:t>杨氏</w:t>
      </w:r>
      <w:r>
        <w:rPr>
          <w:rFonts w:ascii="宋体" w:hAnsi="宋体" w:cs="宋体"/>
          <w:sz w:val="24"/>
          <w:lang w:bidi="ar-SA"/>
        </w:rPr>
        <w:t>模量的值范围为</w:t>
      </w:r>
      <w:r>
        <w:rPr>
          <w:sz w:val="24"/>
          <w:lang w:bidi="ar-SA"/>
        </w:rPr>
        <w:t>13,500</w:t>
      </w:r>
      <w:r>
        <w:rPr>
          <w:rFonts w:ascii="宋体" w:hAnsi="宋体" w:cs="宋体"/>
          <w:sz w:val="24"/>
          <w:lang w:bidi="ar-SA"/>
        </w:rPr>
        <w:t>至</w:t>
      </w:r>
      <w:r>
        <w:rPr>
          <w:sz w:val="24"/>
          <w:lang w:bidi="ar-SA"/>
        </w:rPr>
        <w:t>18,000 MPa</w:t>
      </w:r>
      <w:r>
        <w:rPr>
          <w:rFonts w:ascii="宋体" w:hAnsi="宋体" w:cs="宋体"/>
          <w:sz w:val="24"/>
          <w:lang w:bidi="ar-SA"/>
        </w:rPr>
        <w:t>，而上述骨的泊松比值的范围从</w:t>
      </w:r>
      <w:r>
        <w:rPr>
          <w:sz w:val="24"/>
          <w:lang w:bidi="ar-SA"/>
        </w:rPr>
        <w:t>0.22</w:t>
      </w:r>
      <w:r>
        <w:rPr>
          <w:rFonts w:ascii="宋体" w:hAnsi="宋体" w:cs="宋体"/>
          <w:sz w:val="24"/>
          <w:lang w:bidi="ar-SA"/>
        </w:rPr>
        <w:t>到</w:t>
      </w:r>
      <w:r>
        <w:rPr>
          <w:sz w:val="24"/>
          <w:lang w:bidi="ar-SA"/>
        </w:rPr>
        <w:t>0.3</w:t>
      </w:r>
      <w:r>
        <w:rPr>
          <w:rFonts w:ascii="宋体" w:hAnsi="宋体" w:cs="宋体"/>
          <w:sz w:val="24"/>
          <w:lang w:bidi="ar-SA"/>
        </w:rPr>
        <w:t>。关于这个问题没有达成共识。目前，具有重要意义的是，几何建模的精度和准确性越高，解剖结构和形态学细节越高，所需的计算能力就越大，这使得该过程耗时且费用更高。此外，目前市场上的一些软件从一开始就预定了数值模型离散化的最大级别，从而无法进行更详细的模拟</w:t>
      </w:r>
      <w:r>
        <w:rPr>
          <w:rFonts w:cs="宋体" w:ascii="宋体" w:hAnsi="宋体"/>
          <w:sz w:val="24"/>
          <w:vertAlign w:val="superscript"/>
          <w:lang w:bidi="ar-SA"/>
        </w:rPr>
        <w:t>[45]</w:t>
      </w:r>
      <w:r>
        <w:rPr>
          <w:rFonts w:ascii="宋体" w:hAnsi="宋体" w:cs="宋体"/>
          <w:sz w:val="24"/>
          <w:lang w:bidi="ar-SA"/>
        </w:rPr>
        <w:t>。</w:t>
      </w:r>
    </w:p>
    <w:p>
      <w:pPr>
        <w:pStyle w:val="Normal"/>
        <w:spacing w:lineRule="exact" w:line="400"/>
        <w:jc w:val="center"/>
        <w:rPr>
          <w:rFonts w:eastAsia="黑体"/>
          <w:b/>
          <w:sz w:val="32"/>
        </w:rPr>
      </w:pPr>
      <w:r>
        <w:rPr>
          <w:rFonts w:eastAsia="黑体"/>
          <w:b/>
          <w:sz w:val="32"/>
        </w:rPr>
        <w:t>参考文献</w:t>
      </w:r>
    </w:p>
    <w:p>
      <w:pPr>
        <w:pStyle w:val="Normal"/>
        <w:spacing w:lineRule="exact" w:line="420"/>
        <w:ind w:firstLine="480"/>
        <w:rPr>
          <w:rFonts w:ascii="宋体" w:hAnsi="宋体" w:cs="宋体"/>
          <w:sz w:val="24"/>
        </w:rPr>
      </w:pPr>
      <w:r>
        <w:rPr>
          <w:rFonts w:cs="宋体" w:ascii="宋体" w:hAnsi="宋体"/>
          <w:sz w:val="24"/>
        </w:rPr>
      </w:r>
    </w:p>
    <w:p>
      <w:pPr>
        <w:pStyle w:val="Normal"/>
        <w:spacing w:lineRule="exact" w:line="400"/>
        <w:ind w:hanging="360" w:left="360"/>
        <w:rPr>
          <w:kern w:val="0"/>
          <w:sz w:val="24"/>
        </w:rPr>
      </w:pPr>
      <w:r>
        <w:rPr>
          <w:kern w:val="0"/>
          <w:sz w:val="24"/>
        </w:rPr>
        <w:t>[1] TRIVEDI S. Finite element analysis: A boon to dentistry[J]. J Oral Biol Craniofac Res, 2014, 4: 200-203.</w:t>
      </w:r>
    </w:p>
    <w:p>
      <w:pPr>
        <w:pStyle w:val="Normal"/>
        <w:spacing w:lineRule="exact" w:line="400"/>
        <w:ind w:hanging="360" w:left="360"/>
        <w:rPr>
          <w:kern w:val="0"/>
          <w:sz w:val="24"/>
        </w:rPr>
      </w:pPr>
      <w:r>
        <w:rPr>
          <w:kern w:val="0"/>
          <w:sz w:val="24"/>
        </w:rPr>
        <w:t>[2] BEZERRA T P, SILVA JUNIOR F I, SCARPARO H C, et al. Do erupted third molars weaken the mandibular angle after trauma to the chin region? A 3D finite element study[J]. Int J Oral Maxillofac Surg, 2013, 42: 474-480.</w:t>
      </w:r>
    </w:p>
    <w:p>
      <w:pPr>
        <w:pStyle w:val="Normal"/>
        <w:spacing w:lineRule="exact" w:line="400"/>
        <w:ind w:hanging="360" w:left="360"/>
        <w:rPr>
          <w:kern w:val="0"/>
          <w:sz w:val="24"/>
        </w:rPr>
      </w:pPr>
      <w:r>
        <w:rPr>
          <w:kern w:val="0"/>
          <w:sz w:val="24"/>
        </w:rPr>
        <w:t>[3] SZUCS A, BUJTáR P, SáNDOR G K, et al. Finite element analysis of the human mandible to assess the effect of removing an impacted third molar[J]. J Can Dent Assoc, 2010, 76: a72.</w:t>
      </w:r>
    </w:p>
    <w:p>
      <w:pPr>
        <w:pStyle w:val="Normal"/>
        <w:spacing w:lineRule="exact" w:line="400"/>
        <w:ind w:hanging="360" w:left="360"/>
        <w:rPr>
          <w:kern w:val="0"/>
          <w:sz w:val="24"/>
        </w:rPr>
      </w:pPr>
      <w:r>
        <w:rPr>
          <w:kern w:val="0"/>
          <w:sz w:val="24"/>
        </w:rPr>
        <w:t>[4] MURAKAMI K, YAMAMOTO K, TSUYUKI M, et al. Theoretical efficacy of preventive measures for pathologic fracture after surgical removal of mandibular lesions based on a three-dimensional finite element analysis[J]. J Oral Maxillofac Surg, 2014, 72: 833.e831-818.</w:t>
      </w:r>
    </w:p>
    <w:p>
      <w:pPr>
        <w:pStyle w:val="Normal"/>
        <w:spacing w:lineRule="exact" w:line="400"/>
        <w:ind w:hanging="360" w:left="360"/>
        <w:rPr>
          <w:kern w:val="0"/>
          <w:sz w:val="24"/>
        </w:rPr>
      </w:pPr>
      <w:r>
        <w:rPr>
          <w:kern w:val="0"/>
          <w:sz w:val="24"/>
        </w:rPr>
        <w:t>[5] SANTOS L S, ROSSI A C, FREIRE A R, et al. Finite-element analysis of 3 situations of trauma in the human edentulous mandible[J]. J Oral Maxillofac Surg, 2015, 73: 683-691.</w:t>
      </w:r>
    </w:p>
    <w:p>
      <w:pPr>
        <w:pStyle w:val="Normal"/>
        <w:spacing w:lineRule="exact" w:line="400"/>
        <w:ind w:hanging="360" w:left="360"/>
        <w:rPr>
          <w:kern w:val="0"/>
          <w:sz w:val="24"/>
        </w:rPr>
      </w:pPr>
      <w:r>
        <w:rPr>
          <w:kern w:val="0"/>
          <w:sz w:val="24"/>
        </w:rPr>
        <w:t>[6] SCHALLER A, VOIGT C, HUEMPFNER-HIERL H, et al. Transient finite element analysis of a traumatic fracture of the zygomatic bone caused by a head collision[J]. Int J Oral Maxillofac Surg, 2012, 41: 66-73.</w:t>
      </w:r>
    </w:p>
    <w:p>
      <w:pPr>
        <w:pStyle w:val="Normal"/>
        <w:spacing w:lineRule="exact" w:line="400"/>
        <w:ind w:hanging="360" w:left="360"/>
        <w:rPr>
          <w:kern w:val="0"/>
          <w:sz w:val="24"/>
        </w:rPr>
      </w:pPr>
      <w:r>
        <w:rPr>
          <w:kern w:val="0"/>
          <w:sz w:val="24"/>
        </w:rPr>
        <w:t>[7] LEI T, XIE L, TU W, et al. Blast injuries to the human mandible: development of a finite element model and a preliminary finite element analysis[J]. Injury, 2012, 43: 1850-1855.</w:t>
      </w:r>
    </w:p>
    <w:p>
      <w:pPr>
        <w:pStyle w:val="Normal"/>
        <w:spacing w:lineRule="exact" w:line="400"/>
        <w:ind w:hanging="360" w:left="360"/>
        <w:rPr>
          <w:kern w:val="0"/>
          <w:sz w:val="24"/>
        </w:rPr>
      </w:pPr>
      <w:r>
        <w:rPr>
          <w:kern w:val="0"/>
          <w:sz w:val="24"/>
        </w:rPr>
        <w:t>[8] TANG Z, TU W, ZHANG G, et al. Dynamic simulation and preliminary finite element analysis of gunshot wounds to the human mandible[J]. Injury, 2012, 43: 660-665.</w:t>
      </w:r>
    </w:p>
    <w:p>
      <w:pPr>
        <w:pStyle w:val="Normal"/>
        <w:spacing w:lineRule="exact" w:line="400"/>
        <w:ind w:hanging="360" w:left="360"/>
        <w:rPr>
          <w:kern w:val="0"/>
          <w:sz w:val="24"/>
        </w:rPr>
      </w:pPr>
      <w:r>
        <w:rPr>
          <w:kern w:val="0"/>
          <w:sz w:val="24"/>
        </w:rPr>
        <w:t>[9] WHYTE T, GIBSON T, EAGER D, et al. Full-face motorcycle helmet protection from facial impacts: an investigation using THOR dummy impacts and SIMon finite element head model[J]. Inj Prev, 2017, 23: 205-210.</w:t>
      </w:r>
    </w:p>
    <w:p>
      <w:pPr>
        <w:pStyle w:val="Normal"/>
        <w:spacing w:lineRule="exact" w:line="400"/>
        <w:ind w:hanging="480" w:left="480"/>
        <w:rPr>
          <w:kern w:val="0"/>
          <w:sz w:val="24"/>
        </w:rPr>
      </w:pPr>
      <w:r>
        <w:rPr>
          <w:kern w:val="0"/>
          <w:sz w:val="24"/>
        </w:rPr>
        <w:t>[10] LUO Y, LIANG Z. Understanding how a sport-helmet protects the head from closed injury by virtual impact tests[J]. Biomed Mater Eng, 2017, 28: 279-291.</w:t>
      </w:r>
    </w:p>
    <w:p>
      <w:pPr>
        <w:pStyle w:val="Normal"/>
        <w:spacing w:lineRule="exact" w:line="400"/>
        <w:ind w:hanging="480" w:left="480"/>
        <w:rPr>
          <w:kern w:val="0"/>
          <w:sz w:val="24"/>
        </w:rPr>
      </w:pPr>
      <w:r>
        <w:rPr>
          <w:kern w:val="0"/>
          <w:sz w:val="24"/>
        </w:rPr>
        <w:t>[11] SANDBERG M, TSE K M, TAN L B, et al. A computational study of the EN 1078 impact test for bicycle helmets using a realistic subject-specific finite element head model[J]. Comput Methods Biomech Biomed Engin, 2018, 21: 684-692.</w:t>
      </w:r>
    </w:p>
    <w:p>
      <w:pPr>
        <w:pStyle w:val="Normal"/>
        <w:spacing w:lineRule="exact" w:line="400"/>
        <w:ind w:hanging="480" w:left="480"/>
        <w:rPr>
          <w:kern w:val="0"/>
          <w:sz w:val="24"/>
        </w:rPr>
      </w:pPr>
      <w:r>
        <w:rPr>
          <w:kern w:val="0"/>
          <w:sz w:val="24"/>
        </w:rPr>
        <w:t>[12] LEVADNYI I, AWREJCEWICZ J, ZHANG Y, et al. Finite Element Analysis of Impact for Helmeted and Non-helmeted Head[J]. J Med Biol Eng, 2018, 38: 587-595.</w:t>
      </w:r>
    </w:p>
    <w:p>
      <w:pPr>
        <w:pStyle w:val="Normal"/>
        <w:spacing w:lineRule="exact" w:line="400"/>
        <w:ind w:hanging="480" w:left="480"/>
        <w:rPr>
          <w:kern w:val="0"/>
          <w:sz w:val="24"/>
        </w:rPr>
      </w:pPr>
      <w:r>
        <w:rPr>
          <w:kern w:val="0"/>
          <w:sz w:val="24"/>
        </w:rPr>
        <w:t>[13] LI X, SANDLER H, KLEIVEN S. Infant skull fractures: Accident or abuse?: Evidences from biomechanical analysis using finite element head models[J]. Forensic Sci Int, 2019, 294: 173-182.</w:t>
      </w:r>
    </w:p>
    <w:p>
      <w:pPr>
        <w:pStyle w:val="Normal"/>
        <w:spacing w:lineRule="exact" w:line="400"/>
        <w:ind w:hanging="480" w:left="480"/>
        <w:rPr>
          <w:kern w:val="0"/>
          <w:sz w:val="24"/>
        </w:rPr>
      </w:pPr>
      <w:r>
        <w:rPr>
          <w:kern w:val="0"/>
          <w:sz w:val="24"/>
        </w:rPr>
        <w:t>[14] JOSHI U, KURAKAR M. Assessment of Lingual Stability in Mandible Fracture: Monocortical Versus Bicortical Fixation Using FEM Analysis[J]. J Maxillofac Oral Surg, 2018, 17: 514-519.</w:t>
      </w:r>
    </w:p>
    <w:p>
      <w:pPr>
        <w:pStyle w:val="Normal"/>
        <w:spacing w:lineRule="exact" w:line="400"/>
        <w:ind w:hanging="480" w:left="480"/>
        <w:rPr>
          <w:kern w:val="0"/>
          <w:sz w:val="24"/>
        </w:rPr>
      </w:pPr>
      <w:r>
        <w:rPr>
          <w:kern w:val="0"/>
          <w:sz w:val="24"/>
        </w:rPr>
        <w:t>[15] PARK B, JUNG B T, KIM W H, et al. The Stability of Hydroxyapatite/Poly-L-Lactide Fixation for Unilateral Angle Fracture of the Mandible Assessed Using a Finite Element Analysis Model[J]. Materials (Basel), 2020, 13.</w:t>
      </w:r>
    </w:p>
    <w:p>
      <w:pPr>
        <w:pStyle w:val="Normal"/>
        <w:spacing w:lineRule="exact" w:line="400"/>
        <w:ind w:hanging="480" w:left="480"/>
        <w:rPr>
          <w:kern w:val="0"/>
          <w:sz w:val="24"/>
        </w:rPr>
      </w:pPr>
      <w:r>
        <w:rPr>
          <w:kern w:val="0"/>
          <w:sz w:val="24"/>
        </w:rPr>
        <w:t>[16] JOSHI U, KURAKAR M. Comparison of Stability of Fracture Segments in Mandible Fracture Treated with Different Designs of Mini-Plates Using FEM Analysis[J]. J Maxillofac Oral Surg, 2014, 13: 310-319.</w:t>
      </w:r>
    </w:p>
    <w:p>
      <w:pPr>
        <w:pStyle w:val="Normal"/>
        <w:spacing w:lineRule="exact" w:line="400"/>
        <w:ind w:hanging="480" w:left="480"/>
        <w:rPr>
          <w:kern w:val="0"/>
          <w:sz w:val="24"/>
        </w:rPr>
      </w:pPr>
      <w:r>
        <w:rPr>
          <w:kern w:val="0"/>
          <w:sz w:val="24"/>
        </w:rPr>
        <w:t>[17] ALBOGHA M H, MORI Y, TAKAHASHI I. Three-dimensional titanium miniplates for fixation of subcondylar mandibular fractures: Comparison of five designs using patient-specific finite element analysis[J]. J Craniomaxillofac Surg, 2018, 46: 391-397.</w:t>
      </w:r>
    </w:p>
    <w:p>
      <w:pPr>
        <w:pStyle w:val="Normal"/>
        <w:spacing w:lineRule="exact" w:line="400"/>
        <w:ind w:hanging="480" w:left="480"/>
        <w:rPr>
          <w:kern w:val="0"/>
          <w:sz w:val="24"/>
        </w:rPr>
      </w:pPr>
      <w:r>
        <w:rPr>
          <w:kern w:val="0"/>
          <w:sz w:val="24"/>
        </w:rPr>
        <w:t>[18] DE JESUS G P, VAZ L G, GABRIELLI M F, et al. Finite element evaluation of three methods of stable fixation of condyle base fractures[J]. Int J Oral Maxillofac Surg, 2014, 43: 1251-1256.</w:t>
      </w:r>
    </w:p>
    <w:p>
      <w:pPr>
        <w:pStyle w:val="Normal"/>
        <w:spacing w:lineRule="exact" w:line="400"/>
        <w:ind w:hanging="480" w:left="480"/>
        <w:rPr>
          <w:kern w:val="0"/>
          <w:sz w:val="24"/>
        </w:rPr>
      </w:pPr>
      <w:r>
        <w:rPr>
          <w:kern w:val="0"/>
          <w:sz w:val="24"/>
        </w:rPr>
        <w:t>[19] HAKIM S G, WOLF M, WENDLANDT R, et al. Comparative biomechanical study on three miniplates osteosynthesis systems for stabilisation of low condylar fractures of the mandible[J]. Br J Oral Maxillofac Surg, 2014, 52: 317-322.</w:t>
      </w:r>
    </w:p>
    <w:p>
      <w:pPr>
        <w:pStyle w:val="Normal"/>
        <w:spacing w:lineRule="exact" w:line="400"/>
        <w:ind w:hanging="480" w:left="480"/>
        <w:rPr>
          <w:kern w:val="0"/>
          <w:sz w:val="24"/>
        </w:rPr>
      </w:pPr>
      <w:r>
        <w:rPr>
          <w:kern w:val="0"/>
          <w:sz w:val="24"/>
        </w:rPr>
        <w:t>[20] AQUILINA P, CHAMOLI U, PARR W C, et al. Finite element analysis of three patterns of internal fixation of fractures of the mandibular condyle[J]. Br J Oral Maxillofac Surg, 2013, 51: 326-331.</w:t>
      </w:r>
    </w:p>
    <w:p>
      <w:pPr>
        <w:pStyle w:val="Normal"/>
        <w:spacing w:lineRule="exact" w:line="400"/>
        <w:ind w:hanging="480" w:left="480"/>
        <w:rPr>
          <w:kern w:val="0"/>
          <w:sz w:val="24"/>
        </w:rPr>
      </w:pPr>
      <w:r>
        <w:rPr>
          <w:kern w:val="0"/>
          <w:sz w:val="24"/>
        </w:rPr>
        <w:t>[21] DARWICH M A, ALBOGHA M H, ABDELMAJEED A, et al. Assessment of the Biomechanical Performance of 5 Plating Techniques in Fixation of Mandibular Subcondylar Fracture Using Finite Element Analysis[J]. J Oral Maxillofac Surg, 2016, 74: 794.e791-798.</w:t>
      </w:r>
    </w:p>
    <w:p>
      <w:pPr>
        <w:pStyle w:val="Normal"/>
        <w:spacing w:lineRule="exact" w:line="400"/>
        <w:ind w:hanging="480" w:left="480"/>
        <w:rPr>
          <w:kern w:val="0"/>
          <w:sz w:val="24"/>
        </w:rPr>
      </w:pPr>
      <w:r>
        <w:rPr>
          <w:kern w:val="0"/>
          <w:sz w:val="24"/>
        </w:rPr>
        <w:t>[22] KOZAKIEWICZ M, SWINIARSKI J. "A" shape plate for open rigid internal fixation of mandible condyle neck fracture[J]. J Craniomaxillofac Surg, 2014, 42: 730-737.</w:t>
      </w:r>
    </w:p>
    <w:p>
      <w:pPr>
        <w:pStyle w:val="Normal"/>
        <w:spacing w:lineRule="exact" w:line="400"/>
        <w:ind w:hanging="480" w:left="480"/>
        <w:rPr>
          <w:kern w:val="0"/>
          <w:sz w:val="24"/>
        </w:rPr>
      </w:pPr>
      <w:r>
        <w:rPr>
          <w:kern w:val="0"/>
          <w:sz w:val="24"/>
        </w:rPr>
        <w:t>[23] LARSON B E, LEE N K, JANG M J, et al. Comparative evaluation of the sliding plate technique for fixation of a sagittal split ramus osteotomy: finite element analysis[J]. Oral Surg Oral Med Oral Pathol Oral Radiol, 2017, 123: e148-e152.</w:t>
      </w:r>
    </w:p>
    <w:p>
      <w:pPr>
        <w:pStyle w:val="Normal"/>
        <w:spacing w:lineRule="exact" w:line="400"/>
        <w:ind w:hanging="480" w:left="480"/>
        <w:rPr>
          <w:kern w:val="0"/>
          <w:sz w:val="24"/>
        </w:rPr>
      </w:pPr>
      <w:r>
        <w:rPr>
          <w:kern w:val="0"/>
          <w:sz w:val="24"/>
        </w:rPr>
        <w:t>[24] OGUZ Y, UCKAN S, OZDEN A U, et al. Stability of locking and conventional 2.0-mm miniplate/screw systems after sagittal split ramus osteotomy: finite element analysis[J]. Oral Surg Oral Med Oral Pathol Oral Radiol Endod, 2009, 108: 174-177.</w:t>
      </w:r>
    </w:p>
    <w:p>
      <w:pPr>
        <w:pStyle w:val="Normal"/>
        <w:spacing w:lineRule="exact" w:line="400"/>
        <w:ind w:hanging="480" w:left="480"/>
        <w:rPr>
          <w:kern w:val="0"/>
          <w:sz w:val="24"/>
        </w:rPr>
      </w:pPr>
      <w:r>
        <w:rPr>
          <w:kern w:val="0"/>
          <w:sz w:val="24"/>
        </w:rPr>
        <w:t>[25] TAMURA N, TAKAKI T, TAKANO N, et al. Three-dimensional Finite Element Analysis of Bone Fixation in Bilateral Sagittal Split Ramus Osteotomy Using Individual Models[J]. Bull Tokyo Dent Coll, 2018, 59: 67-78.</w:t>
      </w:r>
    </w:p>
    <w:p>
      <w:pPr>
        <w:pStyle w:val="Normal"/>
        <w:spacing w:lineRule="exact" w:line="400"/>
        <w:ind w:hanging="480" w:left="480"/>
        <w:rPr>
          <w:kern w:val="0"/>
          <w:sz w:val="24"/>
        </w:rPr>
      </w:pPr>
      <w:r>
        <w:rPr>
          <w:kern w:val="0"/>
          <w:sz w:val="24"/>
        </w:rPr>
        <w:t>[26] SARKARAT F, MOTAMEDI M H, BOHLULI B, et al. Analysis of stress distribution on fixation of bilateral sagittal split ramus osteotomy with resorbable plates and screws using the finite-element method[J]. J Oral Maxillofac Surg, 2012, 70: 1434-1438.</w:t>
      </w:r>
    </w:p>
    <w:p>
      <w:pPr>
        <w:pStyle w:val="Normal"/>
        <w:spacing w:lineRule="exact" w:line="400"/>
        <w:ind w:hanging="480" w:left="480"/>
        <w:rPr>
          <w:kern w:val="0"/>
          <w:sz w:val="24"/>
        </w:rPr>
      </w:pPr>
      <w:r>
        <w:rPr>
          <w:kern w:val="0"/>
          <w:sz w:val="24"/>
        </w:rPr>
        <w:t>[27] ERKMEN E, SIMŞEK B, YüCEL E, et al. Comparison of different fixation methods following sagittal split ramus osteotomies using three-dimensional finite elements analysis. Part 1: advancement surgery-posterior loading[J]. Int J Oral Maxillofac Surg, 2005, 34: 551-558.</w:t>
      </w:r>
    </w:p>
    <w:p>
      <w:pPr>
        <w:pStyle w:val="Normal"/>
        <w:spacing w:lineRule="exact" w:line="400"/>
        <w:ind w:hanging="480" w:left="480"/>
        <w:rPr>
          <w:kern w:val="0"/>
          <w:sz w:val="24"/>
        </w:rPr>
      </w:pPr>
      <w:r>
        <w:rPr>
          <w:kern w:val="0"/>
          <w:sz w:val="24"/>
        </w:rPr>
        <w:t>[28] FUJII H, KUROYANAGI N, KANAZAWA T, et al. Three-dimensional finite element model to predict patterns of pterygomaxillary dysjunction during Le Fort I osteotomy[J]. Int J Oral Maxillofac Surg, 2017, 46: 564-571.</w:t>
      </w:r>
    </w:p>
    <w:p>
      <w:pPr>
        <w:pStyle w:val="Normal"/>
        <w:spacing w:lineRule="exact" w:line="400"/>
        <w:ind w:hanging="480" w:left="480"/>
        <w:rPr>
          <w:kern w:val="0"/>
          <w:sz w:val="24"/>
        </w:rPr>
      </w:pPr>
      <w:r>
        <w:rPr>
          <w:kern w:val="0"/>
          <w:sz w:val="24"/>
        </w:rPr>
        <w:t>[29] DE ASSIS D S, XAVIER T A, NORITOMI P Y, et al. Finite element analysis of bone stress after SARPE[J]. J Oral Maxillofac Surg, 2014, 72: 167.e161-167.</w:t>
      </w:r>
    </w:p>
    <w:p>
      <w:pPr>
        <w:pStyle w:val="Normal"/>
        <w:spacing w:lineRule="exact" w:line="400"/>
        <w:ind w:hanging="480" w:left="480"/>
        <w:rPr>
          <w:kern w:val="0"/>
          <w:sz w:val="24"/>
        </w:rPr>
      </w:pPr>
      <w:r>
        <w:rPr>
          <w:kern w:val="0"/>
          <w:sz w:val="24"/>
        </w:rPr>
        <w:t>[30] CEVIDANES L H, TUCKER S, STYNER M, et al. Three-dimensional surgical simulation[J]. Am J Orthod Dentofacial Orthop, 2010, 138: 361-371.</w:t>
      </w:r>
    </w:p>
    <w:p>
      <w:pPr>
        <w:pStyle w:val="Normal"/>
        <w:spacing w:lineRule="exact" w:line="400"/>
        <w:ind w:hanging="480" w:left="480"/>
        <w:rPr>
          <w:kern w:val="0"/>
          <w:sz w:val="24"/>
        </w:rPr>
      </w:pPr>
      <w:r>
        <w:rPr>
          <w:kern w:val="0"/>
          <w:sz w:val="24"/>
        </w:rPr>
        <w:t>[31] KNOOPS P G M, BORGHI A, BREAKEY R W F, et al. Three-dimensional soft tissue prediction in orthognathic surgery: a clinical comparison of Dolphin, ProPlan CMF, and probabilistic finite element modelling[J]. Int J Oral Maxillofac Surg, 2019, 48: 511-518.</w:t>
      </w:r>
    </w:p>
    <w:p>
      <w:pPr>
        <w:pStyle w:val="Normal"/>
        <w:spacing w:lineRule="exact" w:line="400"/>
        <w:ind w:hanging="480" w:left="480"/>
        <w:rPr>
          <w:kern w:val="0"/>
          <w:sz w:val="24"/>
        </w:rPr>
      </w:pPr>
      <w:r>
        <w:rPr>
          <w:kern w:val="0"/>
          <w:sz w:val="24"/>
        </w:rPr>
        <w:t>[32] TIE Y, WANG D M, JI T, et al. Three-dimensional finite-element analysis investigating the biomechanical effects of human mandibular reconstruction with autogenous bone grafts[J]. J Craniomaxillofac Surg, 2006, 34: 290-298.</w:t>
      </w:r>
    </w:p>
    <w:p>
      <w:pPr>
        <w:pStyle w:val="Normal"/>
        <w:spacing w:lineRule="exact" w:line="400"/>
        <w:ind w:hanging="480" w:left="480"/>
        <w:rPr>
          <w:kern w:val="0"/>
          <w:sz w:val="24"/>
        </w:rPr>
      </w:pPr>
      <w:r>
        <w:rPr>
          <w:kern w:val="0"/>
          <w:sz w:val="24"/>
        </w:rPr>
        <w:t>[33] CHENG K J, LIU Y F, WANG J H, et al. Biomechanical behavior of mandibles reconstructed with fibular grafts at different vertical positions using finite element method[J]. J Plast Reconstr Aesthet Surg, 2019, 72: 281-289.</w:t>
      </w:r>
    </w:p>
    <w:p>
      <w:pPr>
        <w:pStyle w:val="Normal"/>
        <w:spacing w:lineRule="exact" w:line="400"/>
        <w:ind w:hanging="480" w:left="480"/>
        <w:rPr>
          <w:kern w:val="0"/>
          <w:sz w:val="24"/>
        </w:rPr>
      </w:pPr>
      <w:r>
        <w:rPr>
          <w:kern w:val="0"/>
          <w:sz w:val="24"/>
        </w:rPr>
        <w:t>[34] GUTWALD R, JAEGER R, LAMBERS F M. Customized mandibular reconstruction plates improve mechanical performance in a mandibular reconstruction model[J]. Comput Methods Biomech Biomed Engin, 2017, 20: 426-435.</w:t>
      </w:r>
    </w:p>
    <w:p>
      <w:pPr>
        <w:pStyle w:val="Normal"/>
        <w:spacing w:lineRule="exact" w:line="400"/>
        <w:ind w:hanging="480" w:left="480"/>
        <w:rPr>
          <w:kern w:val="0"/>
          <w:sz w:val="24"/>
        </w:rPr>
      </w:pPr>
      <w:r>
        <w:rPr>
          <w:kern w:val="0"/>
          <w:sz w:val="24"/>
        </w:rPr>
        <w:t>[35] HENDRIKSON W J, VAN BLITTERSWIJK C A, ROUWKEMA J, et al. The Use of Finite Element Analyses to Design and Fabricate Three-Dimensional Scaffolds for Skeletal Tissue Engineering[J]. Front Bioeng Biotechnol, 2017, 5: 30.</w:t>
      </w:r>
    </w:p>
    <w:p>
      <w:pPr>
        <w:pStyle w:val="Normal"/>
        <w:spacing w:lineRule="exact" w:line="400"/>
        <w:ind w:hanging="480" w:left="480"/>
        <w:rPr>
          <w:kern w:val="0"/>
          <w:sz w:val="24"/>
        </w:rPr>
      </w:pPr>
      <w:r>
        <w:rPr>
          <w:kern w:val="0"/>
          <w:sz w:val="24"/>
        </w:rPr>
        <w:t>[36] LUO D, RONG Q, CHEN Q. Finite-element design and optimization of a three-dimensional tetrahedral porous titanium scaffold for the reconstruction of mandibular defects[J]. Med Eng Phys, 2017, 47: 176-183.</w:t>
      </w:r>
    </w:p>
    <w:p>
      <w:pPr>
        <w:pStyle w:val="Normal"/>
        <w:spacing w:lineRule="exact" w:line="400"/>
        <w:ind w:hanging="480" w:left="480"/>
        <w:rPr>
          <w:kern w:val="0"/>
          <w:sz w:val="24"/>
        </w:rPr>
      </w:pPr>
      <w:r>
        <w:rPr>
          <w:kern w:val="0"/>
          <w:sz w:val="24"/>
        </w:rPr>
        <w:t>[37] HU J, WANG J H, WANG R, et al. Analysis of biomechanical behavior of 3D printed mandibular graft with porous scaffold structure designed by topological optimization[J]. 3D Print Med, 2019, 5: 5.</w:t>
      </w:r>
    </w:p>
    <w:p>
      <w:pPr>
        <w:pStyle w:val="Normal"/>
        <w:spacing w:lineRule="exact" w:line="400"/>
        <w:ind w:hanging="480" w:left="480"/>
        <w:rPr>
          <w:kern w:val="0"/>
          <w:sz w:val="24"/>
        </w:rPr>
      </w:pPr>
      <w:r>
        <w:rPr>
          <w:kern w:val="0"/>
          <w:sz w:val="24"/>
        </w:rPr>
        <w:t>[38] MEMARI Y, FATTAHI P, FATTAHI A, et al. Finite element analysis of stress distribution around short and long implants in mandibular overdenture treatment[J]. Dent Res J (Isfahan), 2020, 17: 25-33.</w:t>
      </w:r>
    </w:p>
    <w:p>
      <w:pPr>
        <w:pStyle w:val="Normal"/>
        <w:spacing w:lineRule="exact" w:line="400"/>
        <w:ind w:hanging="480" w:left="480"/>
        <w:rPr>
          <w:kern w:val="0"/>
          <w:sz w:val="24"/>
        </w:rPr>
      </w:pPr>
      <w:r>
        <w:rPr>
          <w:kern w:val="0"/>
          <w:sz w:val="24"/>
        </w:rPr>
        <w:t>[39] ZHANG G, YUAN H, CHEN X, et al. A Three-Dimensional Finite Element Study on the Biomechanical Simulation of Various Structured Dental Implants and Their Surrounding Bone Tissues[J]. Int J Dent, 2016, 2016: 4867402.</w:t>
      </w:r>
    </w:p>
    <w:p>
      <w:pPr>
        <w:pStyle w:val="Normal"/>
        <w:spacing w:lineRule="exact" w:line="400"/>
        <w:ind w:hanging="480" w:left="480"/>
        <w:rPr>
          <w:kern w:val="0"/>
          <w:sz w:val="24"/>
        </w:rPr>
      </w:pPr>
      <w:r>
        <w:rPr>
          <w:kern w:val="0"/>
          <w:sz w:val="24"/>
        </w:rPr>
        <w:t>[40] WU A Y, HSU J T, FUH L J, et al. Biomechanical effect of implant design on four implants supporting mandibular full-arch fixed dentures: In vitro test and finite element analysis[J]. J Formos Med Assoc, 2020, 119: 1514-1523.</w:t>
      </w:r>
    </w:p>
    <w:p>
      <w:pPr>
        <w:pStyle w:val="Normal"/>
        <w:spacing w:lineRule="exact" w:line="400"/>
        <w:ind w:hanging="480" w:left="480"/>
        <w:rPr>
          <w:kern w:val="0"/>
          <w:sz w:val="24"/>
        </w:rPr>
      </w:pPr>
      <w:r>
        <w:rPr>
          <w:kern w:val="0"/>
          <w:sz w:val="24"/>
        </w:rPr>
        <w:t>[41] LEE H, PARK S, NOH G. Biomechanical analysis of 4 types of short dental implants in a resorbed mandible[J]. J Prosthet Dent, 2019, 121: 659-670.</w:t>
      </w:r>
    </w:p>
    <w:p>
      <w:pPr>
        <w:pStyle w:val="Normal"/>
        <w:spacing w:lineRule="exact" w:line="400"/>
        <w:ind w:hanging="480" w:left="480"/>
        <w:rPr>
          <w:kern w:val="0"/>
          <w:sz w:val="24"/>
        </w:rPr>
      </w:pPr>
      <w:r>
        <w:rPr>
          <w:kern w:val="0"/>
          <w:sz w:val="24"/>
        </w:rPr>
        <w:t>[42] ISHAK M I, ABDUL KADIR M R, SULAIMAN E, et al. Finite element analysis of different surgical approaches in various occlusal loading locations for zygomatic implant placement for the treatment of atrophic maxillae[J]. Int J Oral Maxillofac Surg, 2012, 41: 1077-1089.</w:t>
      </w:r>
    </w:p>
    <w:p>
      <w:pPr>
        <w:pStyle w:val="Normal"/>
        <w:spacing w:lineRule="exact" w:line="400"/>
        <w:ind w:hanging="480" w:left="480"/>
        <w:rPr>
          <w:kern w:val="0"/>
          <w:sz w:val="24"/>
        </w:rPr>
      </w:pPr>
      <w:r>
        <w:rPr>
          <w:kern w:val="0"/>
          <w:sz w:val="24"/>
        </w:rPr>
        <w:t>[43] INGLAM S, SUEBNUKARN S, THARANON W, et al. Influence of graft quality and marginal bone loss on implants placed in maxillary grafted sinus: a finite element study[J]. Med Biol Eng Comput, 2010, 48: 681-689.</w:t>
      </w:r>
    </w:p>
    <w:p>
      <w:pPr>
        <w:pStyle w:val="Normal"/>
        <w:spacing w:lineRule="exact" w:line="400"/>
        <w:ind w:hanging="480" w:left="480"/>
        <w:rPr>
          <w:kern w:val="0"/>
          <w:sz w:val="24"/>
        </w:rPr>
      </w:pPr>
      <w:r>
        <w:rPr>
          <w:kern w:val="0"/>
          <w:sz w:val="24"/>
        </w:rPr>
        <w:t>[44] SCHULLER-GöTZBURG P, ENTACHER K, PETUTSCHNIGG A, et al. Sinus elevation with a cortical bone graft block: a patient-specific three-dimensional finite element study[J]. Int J Oral Maxillofac Implants, 2012, 27: 359-368.</w:t>
      </w:r>
    </w:p>
    <w:p>
      <w:pPr>
        <w:pStyle w:val="Normal"/>
        <w:spacing w:lineRule="exact" w:line="400"/>
        <w:ind w:hanging="480" w:left="480"/>
        <w:rPr>
          <w:kern w:val="0"/>
          <w:sz w:val="24"/>
        </w:rPr>
      </w:pPr>
      <w:r>
        <w:rPr>
          <w:kern w:val="0"/>
          <w:sz w:val="24"/>
        </w:rPr>
        <w:t>[45] BAECK K, GOFFIN J, VANDER SLOTEN J. An investigation into the use and limitations of different spatial integration schemes and finite element software in head impact analyses[J]. Comput Methods Biomech Biomed Engin, 2014, 17: 405-415.</w:t>
      </w:r>
    </w:p>
    <w:p>
      <w:pPr>
        <w:pStyle w:val="Normal"/>
        <w:spacing w:lineRule="exact" w:line="400"/>
        <w:rPr/>
      </w:pPr>
      <w:r>
        <w:rPr/>
      </w:r>
    </w:p>
    <w:p>
      <w:pPr>
        <w:pStyle w:val="Normal"/>
        <w:spacing w:lineRule="exact" w:line="400"/>
        <w:rPr/>
      </w:pPr>
      <w:r>
        <w:rPr/>
      </w:r>
    </w:p>
    <w:p>
      <w:pPr>
        <w:pStyle w:val="Normal"/>
        <w:rPr/>
      </w:pPr>
      <w:r>
        <w:rPr/>
      </w:r>
    </w:p>
    <w:sectPr>
      <w:headerReference w:type="default" r:id="rId62"/>
      <w:headerReference w:type="first" r:id="rId63"/>
      <w:footerReference w:type="default" r:id="rId64"/>
      <w:footerReference w:type="first" r:id="rId65"/>
      <w:type w:val="nextPage"/>
      <w:pgSz w:w="12240" w:h="15840"/>
      <w:pgMar w:left="1800" w:right="1800" w:gutter="0" w:header="720" w:top="1440" w:footer="72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swiss"/>
    <w:pitch w:val="variable"/>
  </w:font>
  <w:font w:name="宋体">
    <w:charset w:val="01"/>
    <w:family w:val="auto"/>
    <w:pitch w:val="variable"/>
  </w:font>
  <w:font w:name="楷体_GB2312">
    <w:charset w:val="01"/>
    <w:family w:val="auto"/>
    <w:pitch w:val="variable"/>
  </w:font>
  <w:font w:name="华文中宋">
    <w:charset w:val="01"/>
    <w:family w:val="auto"/>
    <w:pitch w:val="variable"/>
  </w:font>
  <w:font w:name="隶书">
    <w:charset w:val="01"/>
    <w:family w:val="auto"/>
    <w:pitch w:val="variable"/>
  </w:font>
  <w:font w:name="楷体">
    <w:charset w:val="01"/>
    <w:family w:val="auto"/>
    <w:pitch w:val="variable"/>
  </w:font>
  <w:font w:name="仿宋_GB2312">
    <w:charset w:val="01"/>
    <w:family w:val="auto"/>
    <w:pitch w:val="variable"/>
  </w:font>
  <w:font w:name="Wingdings 2">
    <w:charset w:val="02"/>
    <w:family w:val="auto"/>
    <w:pitch w:val="variable"/>
  </w:font>
  <w:font w:name="Segoe UI">
    <w:charset w:val="01"/>
    <w:family w:val="swiss"/>
    <w:pitch w:val="variable"/>
  </w:font>
  <w:font w:name="黑体">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 wp14:anchorId="0C129B2A">
              <wp:simplePos x="0" y="0"/>
              <wp:positionH relativeFrom="margin">
                <wp:align>center</wp:align>
              </wp:positionH>
              <wp:positionV relativeFrom="paragraph">
                <wp:posOffset>635</wp:posOffset>
              </wp:positionV>
              <wp:extent cx="5276850" cy="354965"/>
              <wp:effectExtent l="0" t="0" r="0" b="0"/>
              <wp:wrapNone/>
              <wp:docPr id="18" name="文本框 4"/>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2</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0.05pt;margin-top:0pt;width:415.45pt;height:27.9pt;mso-wrap-style:none;v-text-anchor:top;mso-position-horizontal:center;mso-position-horizontal-relative:margin" wp14:anchorId="0C129B2A">
              <v:fill o:detectmouseclick="t" on="false"/>
              <v:stroke color="#3465a4" weight="6480" joinstyle="round" endcap="flat"/>
              <v:textbo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2</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2" wp14:anchorId="1FD66B13">
              <wp:simplePos x="0" y="0"/>
              <wp:positionH relativeFrom="margin">
                <wp:align>center</wp:align>
              </wp:positionH>
              <wp:positionV relativeFrom="paragraph">
                <wp:posOffset>635</wp:posOffset>
              </wp:positionV>
              <wp:extent cx="5273040" cy="354965"/>
              <wp:effectExtent l="0" t="0" r="0" b="0"/>
              <wp:wrapNone/>
              <wp:docPr id="19" name="文本框 8"/>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8" path="m0,0l-2147483645,0l-2147483645,-2147483646l0,-2147483646xe" stroked="f" o:allowincell="f" style="position:absolute;margin-left:0.05pt;margin-top:0pt;width:415.1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74" wp14:anchorId="1FD66B13">
              <wp:simplePos x="0" y="0"/>
              <wp:positionH relativeFrom="margin">
                <wp:align>center</wp:align>
              </wp:positionH>
              <wp:positionV relativeFrom="paragraph">
                <wp:posOffset>635</wp:posOffset>
              </wp:positionV>
              <wp:extent cx="5273040" cy="354965"/>
              <wp:effectExtent l="0" t="0" r="0" b="0"/>
              <wp:wrapNone/>
              <wp:docPr id="20" name="文本框 5"/>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5" path="m0,0l-2147483645,0l-2147483645,-2147483646l0,-2147483646xe" stroked="f" o:allowincell="f" style="position:absolute;margin-left:0.05pt;margin-top:0pt;width:415.1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76" wp14:anchorId="1FD66B13">
              <wp:simplePos x="0" y="0"/>
              <wp:positionH relativeFrom="margin">
                <wp:align>center</wp:align>
              </wp:positionH>
              <wp:positionV relativeFrom="paragraph">
                <wp:posOffset>635</wp:posOffset>
              </wp:positionV>
              <wp:extent cx="5273040" cy="354965"/>
              <wp:effectExtent l="0" t="0" r="0" b="0"/>
              <wp:wrapNone/>
              <wp:docPr id="21" name="文本框 6"/>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6" path="m0,0l-2147483645,0l-2147483645,-2147483646l0,-2147483646xe" stroked="f" o:allowincell="f" style="position:absolute;margin-left:0.05pt;margin-top:0pt;width:415.1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5" wp14:anchorId="1FD66B13">
              <wp:simplePos x="0" y="0"/>
              <wp:positionH relativeFrom="margin">
                <wp:align>center</wp:align>
              </wp:positionH>
              <wp:positionV relativeFrom="paragraph">
                <wp:posOffset>635</wp:posOffset>
              </wp:positionV>
              <wp:extent cx="5276850" cy="354965"/>
              <wp:effectExtent l="0" t="0" r="0" b="0"/>
              <wp:wrapNone/>
              <wp:docPr id="22" name="文本框 10"/>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0.05pt;margin-top:0pt;width:415.4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15" wp14:anchorId="1FD66B13">
              <wp:simplePos x="0" y="0"/>
              <wp:positionH relativeFrom="margin">
                <wp:align>center</wp:align>
              </wp:positionH>
              <wp:positionV relativeFrom="paragraph">
                <wp:posOffset>635</wp:posOffset>
              </wp:positionV>
              <wp:extent cx="5276850" cy="354965"/>
              <wp:effectExtent l="0" t="0" r="0" b="0"/>
              <wp:wrapNone/>
              <wp:docPr id="34" name="文本框 11"/>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11" path="m0,0l-2147483645,0l-2147483645,-2147483646l0,-2147483646xe" stroked="f" o:allowincell="f" style="position:absolute;margin-left:0.05pt;margin-top:0pt;width:415.4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62306EA8">
              <wp:simplePos x="0" y="0"/>
              <wp:positionH relativeFrom="margin">
                <wp:align>center</wp:align>
              </wp:positionH>
              <wp:positionV relativeFrom="paragraph">
                <wp:posOffset>635</wp:posOffset>
              </wp:positionV>
              <wp:extent cx="1828800" cy="130175"/>
              <wp:effectExtent l="0" t="0" r="0" b="0"/>
              <wp:wrapNone/>
              <wp:docPr id="3"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62306EA8">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17" wp14:anchorId="1FD66B13">
              <wp:simplePos x="0" y="0"/>
              <wp:positionH relativeFrom="margin">
                <wp:align>center</wp:align>
              </wp:positionH>
              <wp:positionV relativeFrom="paragraph">
                <wp:posOffset>635</wp:posOffset>
              </wp:positionV>
              <wp:extent cx="5276850" cy="354965"/>
              <wp:effectExtent l="0" t="0" r="0" b="0"/>
              <wp:wrapNone/>
              <wp:docPr id="35" name="文本框 12"/>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21</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12" path="m0,0l-2147483645,0l-2147483645,-2147483646l0,-2147483646xe" stroked="f" o:allowincell="f" style="position:absolute;margin-left:0.05pt;margin-top:0pt;width:415.45pt;height:27.9pt;mso-wrap-style:none;v-text-anchor:top;mso-position-horizontal:center;mso-position-horizontal-relative:margin" wp14:anchorId="1FD66B13">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21</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31" wp14:anchorId="525E839F">
              <wp:simplePos x="0" y="0"/>
              <wp:positionH relativeFrom="margin">
                <wp:align>center</wp:align>
              </wp:positionH>
              <wp:positionV relativeFrom="paragraph">
                <wp:posOffset>635</wp:posOffset>
              </wp:positionV>
              <wp:extent cx="5276850" cy="354965"/>
              <wp:effectExtent l="0" t="0" r="0" b="0"/>
              <wp:wrapNone/>
              <wp:docPr id="36" name="文本框 9"/>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29</w:t>
                              </w:r>
                              <w:r>
                                <w:rPr/>
                                <w:fldChar w:fldCharType="end"/>
                              </w:r>
                              <w:r>
                                <w:rPr/>
                              </w:r>
                            </w:sdtContent>
                          </w:sdt>
                        </w:p>
                        <w:p>
                          <w:pPr>
                            <w:pStyle w:val="Style20"/>
                            <w:rPr>
                              <w:color w:val="000000"/>
                            </w:rPr>
                          </w:pPr>
                          <w:r>
                            <w:rPr>
                              <w:color w:val="000000"/>
                            </w:rPr>
                          </w:r>
                        </w:p>
                      </w:txbxContent>
                    </wps:txbx>
                    <wps:bodyPr lIns="0" rIns="0" tIns="0" bIns="0" anchor="t">
                      <a:spAutoFit/>
                    </wps:bodyPr>
                  </wps:wsp>
                </a:graphicData>
              </a:graphic>
            </wp:anchor>
          </w:drawing>
        </mc:Choice>
        <mc:Fallback>
          <w:pict>
            <v:rect id="shape_0" ID="文本框 9" path="m0,0l-2147483645,0l-2147483645,-2147483646l0,-2147483646xe" stroked="f" o:allowincell="f" style="position:absolute;margin-left:0.05pt;margin-top:0pt;width:415.45pt;height:27.9pt;mso-wrap-style:none;v-text-anchor:top;mso-position-horizontal:center;mso-position-horizontal-relative:margin" wp14:anchorId="525E839F">
              <v:fill o:detectmouseclick="t" on="false"/>
              <v:stroke color="#3465a4" weight="6480" joinstyle="round" endcap="flat"/>
              <v:textbo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29</w:t>
                        </w:r>
                        <w:r>
                          <w:rPr/>
                          <w:fldChar w:fldCharType="end"/>
                        </w:r>
                        <w:r>
                          <w:rPr/>
                        </w:r>
                      </w:sdtContent>
                    </w:sdt>
                  </w:p>
                  <w:p>
                    <w:pPr>
                      <w:pStyle w:val="Style20"/>
                      <w:rPr>
                        <w:color w:val="000000"/>
                      </w:rPr>
                    </w:pPr>
                    <w:r>
                      <w:rPr>
                        <w:color w:val="000000"/>
                      </w:rPr>
                    </w:r>
                  </w:p>
                </w:txbxContent>
              </v:textbox>
              <w10:wrap type="none"/>
            </v:rect>
          </w:pict>
        </mc:Fallback>
      </mc:AlternateContent>
    </w:r>
  </w:p>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34" wp14:anchorId="1AF943A2">
              <wp:simplePos x="0" y="0"/>
              <wp:positionH relativeFrom="margin">
                <wp:align>center</wp:align>
              </wp:positionH>
              <wp:positionV relativeFrom="paragraph">
                <wp:posOffset>635</wp:posOffset>
              </wp:positionV>
              <wp:extent cx="1828800" cy="130175"/>
              <wp:effectExtent l="0" t="0" r="0" b="0"/>
              <wp:wrapNone/>
              <wp:docPr id="37" name="文本框 10"/>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135.8pt;margin-top:0pt;width:143.95pt;height:10.2pt;mso-wrap-style:none;v-text-anchor:top;mso-position-horizontal:center;mso-position-horizontal-relative:margin" wp14:anchorId="1AF943A2">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26" wp14:anchorId="1AF943A2">
              <wp:simplePos x="0" y="0"/>
              <wp:positionH relativeFrom="margin">
                <wp:align>center</wp:align>
              </wp:positionH>
              <wp:positionV relativeFrom="paragraph">
                <wp:posOffset>635</wp:posOffset>
              </wp:positionV>
              <wp:extent cx="1828800" cy="130175"/>
              <wp:effectExtent l="0" t="0" r="0" b="0"/>
              <wp:wrapNone/>
              <wp:docPr id="38" name="文本框 15"/>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wps:txbx>
                    <wps:bodyPr lIns="0" rIns="0" tIns="0" bIns="0" anchor="t">
                      <a:spAutoFit/>
                    </wps:bodyPr>
                  </wps:wsp>
                </a:graphicData>
              </a:graphic>
            </wp:anchor>
          </w:drawing>
        </mc:Choice>
        <mc:Fallback>
          <w:pict>
            <v:rect id="shape_0" ID="文本框 15" path="m0,0l-2147483645,0l-2147483645,-2147483646l0,-2147483646xe" stroked="f" o:allowincell="f" style="position:absolute;margin-left:135.8pt;margin-top:0pt;width:143.95pt;height:10.2pt;mso-wrap-style:none;v-text-anchor:top;mso-position-horizontal:center;mso-position-horizontal-relative:margin" wp14:anchorId="1AF943A2">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42" wp14:anchorId="1AF943A2">
              <wp:simplePos x="0" y="0"/>
              <wp:positionH relativeFrom="margin">
                <wp:align>center</wp:align>
              </wp:positionH>
              <wp:positionV relativeFrom="paragraph">
                <wp:posOffset>635</wp:posOffset>
              </wp:positionV>
              <wp:extent cx="1828800" cy="130175"/>
              <wp:effectExtent l="0" t="0" r="0" b="0"/>
              <wp:wrapNone/>
              <wp:docPr id="39" name="文本框 16"/>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wps:txbx>
                    <wps:bodyPr lIns="0" rIns="0" tIns="0" bIns="0" anchor="t">
                      <a:spAutoFit/>
                    </wps:bodyPr>
                  </wps:wsp>
                </a:graphicData>
              </a:graphic>
            </wp:anchor>
          </w:drawing>
        </mc:Choice>
        <mc:Fallback>
          <w:pict>
            <v:rect id="shape_0" ID="文本框 16" path="m0,0l-2147483645,0l-2147483645,-2147483646l0,-2147483646xe" stroked="f" o:allowincell="f" style="position:absolute;margin-left:144pt;margin-top:0pt;width:143.95pt;height:10.2pt;mso-wrap-style:none;v-text-anchor:top;mso-position-horizontal:center;mso-position-horizontal-relative:margin" wp14:anchorId="1AF943A2">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62306EA8">
              <wp:simplePos x="0" y="0"/>
              <wp:positionH relativeFrom="margin">
                <wp:align>center</wp:align>
              </wp:positionH>
              <wp:positionV relativeFrom="paragraph">
                <wp:posOffset>635</wp:posOffset>
              </wp:positionV>
              <wp:extent cx="1828800" cy="130175"/>
              <wp:effectExtent l="0" t="0" r="0" b="0"/>
              <wp:wrapNone/>
              <wp:docPr id="4"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62306EA8">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50" wp14:anchorId="1AF943A2">
              <wp:simplePos x="0" y="0"/>
              <wp:positionH relativeFrom="margin">
                <wp:align>center</wp:align>
              </wp:positionH>
              <wp:positionV relativeFrom="paragraph">
                <wp:posOffset>635</wp:posOffset>
              </wp:positionV>
              <wp:extent cx="1828800" cy="130175"/>
              <wp:effectExtent l="0" t="0" r="0" b="0"/>
              <wp:wrapNone/>
              <wp:docPr id="40" name="文本框 17"/>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48</w:t>
                          </w:r>
                          <w:r>
                            <w:rPr>
                              <w:color w:val="000000"/>
                            </w:rPr>
                            <w:fldChar w:fldCharType="end"/>
                          </w:r>
                        </w:p>
                      </w:txbxContent>
                    </wps:txbx>
                    <wps:bodyPr lIns="0" rIns="0" tIns="0" bIns="0" anchor="t">
                      <a:spAutoFit/>
                    </wps:bodyPr>
                  </wps:wsp>
                </a:graphicData>
              </a:graphic>
            </wp:anchor>
          </w:drawing>
        </mc:Choice>
        <mc:Fallback>
          <w:pict>
            <v:rect id="shape_0" ID="文本框 17" path="m0,0l-2147483645,0l-2147483645,-2147483646l0,-2147483646xe" stroked="f" o:allowincell="f" style="position:absolute;margin-left:144pt;margin-top:0pt;width:143.95pt;height:10.2pt;mso-wrap-style:none;v-text-anchor:top;mso-position-horizontal:center;mso-position-horizontal-relative:margin" wp14:anchorId="1AF943A2">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48</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58" wp14:anchorId="62306EA8">
              <wp:simplePos x="0" y="0"/>
              <wp:positionH relativeFrom="margin">
                <wp:align>center</wp:align>
              </wp:positionH>
              <wp:positionV relativeFrom="paragraph">
                <wp:posOffset>635</wp:posOffset>
              </wp:positionV>
              <wp:extent cx="1828800" cy="130175"/>
              <wp:effectExtent l="0" t="0" r="0" b="0"/>
              <wp:wrapNone/>
              <wp:docPr id="5" name="文本框 1"/>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spAutoFit/>
                    </wps:bodyPr>
                  </wps:wsp>
                </a:graphicData>
              </a:graphic>
            </wp:anchor>
          </w:drawing>
        </mc:Choice>
        <mc:Fallback>
          <w:pict>
            <v:rect id="shape_0" ID="文本框 1" path="m0,0l-2147483645,0l-2147483645,-2147483646l0,-2147483646xe" stroked="f" o:allowincell="f" style="position:absolute;margin-left:135.65pt;margin-top:0pt;width:143.95pt;height:10.2pt;mso-wrap-style:none;v-text-anchor:top;mso-position-horizontal:center;mso-position-horizontal-relative:margin" wp14:anchorId="62306EA8">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62" wp14:anchorId="62306EA8">
              <wp:simplePos x="0" y="0"/>
              <wp:positionH relativeFrom="margin">
                <wp:align>center</wp:align>
              </wp:positionH>
              <wp:positionV relativeFrom="paragraph">
                <wp:posOffset>635</wp:posOffset>
              </wp:positionV>
              <wp:extent cx="1828800" cy="130175"/>
              <wp:effectExtent l="0" t="0" r="0" b="0"/>
              <wp:wrapNone/>
              <wp:docPr id="16" name="文本框 2"/>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spAutoFit/>
                    </wps:bodyPr>
                  </wps:wsp>
                </a:graphicData>
              </a:graphic>
            </wp:anchor>
          </w:drawing>
        </mc:Choice>
        <mc:Fallback>
          <w:pict>
            <v:rect id="shape_0" ID="文本框 2" path="m0,0l-2147483645,0l-2147483645,-2147483646l0,-2147483646xe" stroked="f" o:allowincell="f" style="position:absolute;margin-left:135.65pt;margin-top:0pt;width:143.95pt;height:10.2pt;mso-wrap-style:none;v-text-anchor:top;mso-position-horizontal:center;mso-position-horizontal-relative:margin" wp14:anchorId="62306EA8">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70" wp14:anchorId="62306EA8">
              <wp:simplePos x="0" y="0"/>
              <wp:positionH relativeFrom="margin">
                <wp:align>center</wp:align>
              </wp:positionH>
              <wp:positionV relativeFrom="paragraph">
                <wp:posOffset>635</wp:posOffset>
              </wp:positionV>
              <wp:extent cx="1828800" cy="130175"/>
              <wp:effectExtent l="0" t="0" r="0" b="0"/>
              <wp:wrapNone/>
              <wp:docPr id="17" name="文本框 4"/>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135.65pt;margin-top:0pt;width:143.95pt;height:10.2pt;mso-wrap-style:none;v-text-anchor:top;mso-position-horizontal:center;mso-position-horizontal-relative:margin" wp14:anchorId="62306EA8">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rPr/>
    </w:pPr>
    <w:r>
      <w:rPr/>
      <w:t>延边大学硕士学位论文</w:t>
    </w:r>
    <w:r>
      <w:rPr/>
      <w:tab/>
      <w:tab/>
    </w:r>
    <w:r>
      <w:rPr/>
      <w:t>摘要</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结果</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讨论</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结论</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参考文献</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rPr/>
    </w:pPr>
    <w:r>
      <w:rPr/>
      <w:t>延边大学硕士学位论文</w:t>
    </w:r>
    <w:r>
      <w:rPr/>
      <w:tab/>
      <w:tab/>
      <w:t>Abstract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延边大学硕士学位论文</w:t>
    </w:r>
    <w:r>
      <w:rPr/>
      <w:tab/>
      <w:tab/>
    </w:r>
    <w:r>
      <w:rPr/>
      <w:t>目录</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rPr/>
    </w:pPr>
    <w:r>
      <w:rPr/>
      <w:t>延边大学硕士学位论文</w:t>
    </w:r>
    <w:r>
      <w:rPr/>
      <w:tab/>
      <w:tab/>
    </w:r>
    <w:r>
      <w:rPr/>
      <w:t>英文缩略词</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ind w:firstLine="360"/>
      <w:jc w:val="both"/>
      <w:rPr/>
    </w:pPr>
    <w:r>
      <w:rPr/>
      <w:t>延边大学硕士学位论文</w:t>
    </w:r>
    <w:r>
      <w:rPr/>
      <w:tab/>
      <w:tab/>
    </w:r>
    <w:r>
      <w:rPr/>
      <w:t>绪论</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ind w:firstLine="360"/>
      <w:jc w:val="both"/>
      <w:rPr/>
    </w:pPr>
    <w:r>
      <w:rPr/>
      <w:t>延边大学硕士学位论文</w:t>
    </w:r>
    <w:r>
      <w:rPr/>
      <w:tab/>
      <w:tab/>
    </w:r>
    <w:r>
      <w:rPr/>
      <w:t>材料和方法</w:t>
    </w:r>
  </w:p>
</w:hdr>
</file>

<file path=word/settings.xml><?xml version="1.0" encoding="utf-8"?>
<w:settings xmlns:w="http://schemas.openxmlformats.org/wordprocessingml/2006/main">
  <w:zoom w:percent="100"/>
  <w:defaultTabStop w:val="4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docVars>
    <w:docVar w:name="EN.InstantFormat" w:val="&lt;ENInstantFormat&gt;&lt;Enabled&gt;1&lt;/Enabled&gt;&lt;ScanUnformatted&gt;1&lt;/ScanUnformatted&gt;&lt;ScanChanges&gt;1&lt;/ScanChanges&gt;&lt;Suspended&gt;1&lt;/Suspended&gt;&lt;/ENInstantFormat&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 w:val="22"/>
        <w:szCs w:val="24"/>
        <w:lang w:val="en-U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44f9"/>
    <w:pPr>
      <w:widowControl w:val="false"/>
      <w:bidi w:val="0"/>
      <w:spacing w:lineRule="auto" w:line="240" w:before="0" w:after="0"/>
      <w:jc w:val="both"/>
    </w:pPr>
    <w:rPr>
      <w:rFonts w:ascii="Times New Roman" w:hAnsi="Times New Roman" w:eastAsia="宋体" w:cs="Times New Roman"/>
      <w:color w:val="auto"/>
      <w:kern w:val="2"/>
      <w:sz w:val="21"/>
      <w:szCs w:val="24"/>
      <w:lang w:val="en-US" w:eastAsia="zh-CN" w:bidi="ar-SA"/>
      <w14:ligatures w14:val="none"/>
    </w:rPr>
  </w:style>
  <w:style w:type="paragraph" w:styleId="Heading1">
    <w:name w:val="heading 1"/>
    <w:basedOn w:val="Normal"/>
    <w:next w:val="Normal"/>
    <w:link w:val="1"/>
    <w:uiPriority w:val="9"/>
    <w:qFormat/>
    <w:rsid w:val="00e344f9"/>
    <w:pPr>
      <w:keepNext w:val="true"/>
      <w:keepLines/>
      <w:spacing w:before="480" w:after="80"/>
      <w:outlineLvl w:val="0"/>
    </w:pPr>
    <w:rPr>
      <w:rFonts w:ascii="等线 Light" w:hAnsi="等线 Light" w:eastAsia="等线 Light" w:cs="" w:asciiTheme="majorHAnsi" w:cstheme="majorBidi" w:eastAsiaTheme="majorEastAsia" w:hAnsiTheme="majorHAnsi"/>
      <w:color w:themeColor="accent1" w:themeShade="bf" w:val="2F5496"/>
      <w:sz w:val="48"/>
      <w:szCs w:val="48"/>
    </w:rPr>
  </w:style>
  <w:style w:type="paragraph" w:styleId="Heading2">
    <w:name w:val="heading 2"/>
    <w:basedOn w:val="Normal"/>
    <w:next w:val="Normal"/>
    <w:link w:val="2"/>
    <w:uiPriority w:val="9"/>
    <w:semiHidden/>
    <w:unhideWhenUsed/>
    <w:qFormat/>
    <w:rsid w:val="00e344f9"/>
    <w:pPr>
      <w:keepNext w:val="true"/>
      <w:keepLines/>
      <w:spacing w:before="160" w:after="80"/>
      <w:outlineLvl w:val="1"/>
    </w:pPr>
    <w:rPr>
      <w:rFonts w:ascii="等线 Light" w:hAnsi="等线 Light" w:eastAsia="等线 Light" w:cs="" w:asciiTheme="majorHAnsi" w:cstheme="majorBidi" w:eastAsiaTheme="majorEastAsia" w:hAnsiTheme="majorHAnsi"/>
      <w:color w:themeColor="accent1" w:themeShade="bf" w:val="2F5496"/>
      <w:sz w:val="40"/>
      <w:szCs w:val="40"/>
    </w:rPr>
  </w:style>
  <w:style w:type="paragraph" w:styleId="Heading3">
    <w:name w:val="heading 3"/>
    <w:basedOn w:val="Normal"/>
    <w:next w:val="Normal"/>
    <w:link w:val="3"/>
    <w:uiPriority w:val="9"/>
    <w:semiHidden/>
    <w:unhideWhenUsed/>
    <w:qFormat/>
    <w:rsid w:val="00e344f9"/>
    <w:pPr>
      <w:keepNext w:val="true"/>
      <w:keepLines/>
      <w:spacing w:before="160" w:after="80"/>
      <w:outlineLvl w:val="2"/>
    </w:pPr>
    <w:rPr>
      <w:rFonts w:ascii="等线 Light" w:hAnsi="等线 Light" w:eastAsia="等线 Light" w:cs="" w:asciiTheme="majorHAnsi" w:cstheme="majorBidi" w:eastAsiaTheme="majorEastAsia" w:hAnsiTheme="majorHAnsi"/>
      <w:color w:themeColor="accent1" w:themeShade="bf" w:val="2F5496"/>
      <w:sz w:val="32"/>
      <w:szCs w:val="32"/>
    </w:rPr>
  </w:style>
  <w:style w:type="paragraph" w:styleId="Heading4">
    <w:name w:val="heading 4"/>
    <w:basedOn w:val="Normal"/>
    <w:next w:val="Normal"/>
    <w:link w:val="4"/>
    <w:uiPriority w:val="9"/>
    <w:semiHidden/>
    <w:unhideWhenUsed/>
    <w:qFormat/>
    <w:rsid w:val="00e344f9"/>
    <w:pPr>
      <w:keepNext w:val="true"/>
      <w:keepLines/>
      <w:spacing w:before="80" w:after="40"/>
      <w:outlineLvl w:val="3"/>
    </w:pPr>
    <w:rPr>
      <w:rFonts w:cs="" w:cstheme="majorBidi"/>
      <w:color w:themeColor="accent1" w:themeShade="bf" w:val="2F5496"/>
      <w:sz w:val="28"/>
      <w:szCs w:val="28"/>
    </w:rPr>
  </w:style>
  <w:style w:type="paragraph" w:styleId="Heading5">
    <w:name w:val="heading 5"/>
    <w:basedOn w:val="Normal"/>
    <w:next w:val="Normal"/>
    <w:link w:val="5"/>
    <w:uiPriority w:val="9"/>
    <w:semiHidden/>
    <w:unhideWhenUsed/>
    <w:qFormat/>
    <w:rsid w:val="00e344f9"/>
    <w:pPr>
      <w:keepNext w:val="true"/>
      <w:keepLines/>
      <w:spacing w:before="80" w:after="40"/>
      <w:outlineLvl w:val="4"/>
    </w:pPr>
    <w:rPr>
      <w:rFonts w:cs="" w:cstheme="majorBidi"/>
      <w:color w:themeColor="accent1" w:themeShade="bf" w:val="2F5496"/>
      <w:sz w:val="24"/>
    </w:rPr>
  </w:style>
  <w:style w:type="paragraph" w:styleId="Heading6">
    <w:name w:val="heading 6"/>
    <w:basedOn w:val="Normal"/>
    <w:next w:val="Normal"/>
    <w:link w:val="6"/>
    <w:uiPriority w:val="9"/>
    <w:semiHidden/>
    <w:unhideWhenUsed/>
    <w:qFormat/>
    <w:rsid w:val="00e344f9"/>
    <w:pPr>
      <w:keepNext w:val="true"/>
      <w:keepLines/>
      <w:spacing w:before="40" w:after="0"/>
      <w:outlineLvl w:val="5"/>
    </w:pPr>
    <w:rPr>
      <w:rFonts w:cs="" w:cstheme="majorBidi"/>
      <w:b/>
      <w:bCs/>
      <w:color w:themeColor="accent1" w:themeShade="bf" w:val="2F5496"/>
    </w:rPr>
  </w:style>
  <w:style w:type="paragraph" w:styleId="Heading7">
    <w:name w:val="heading 7"/>
    <w:basedOn w:val="Normal"/>
    <w:next w:val="Normal"/>
    <w:link w:val="7"/>
    <w:uiPriority w:val="9"/>
    <w:semiHidden/>
    <w:unhideWhenUsed/>
    <w:qFormat/>
    <w:rsid w:val="00e344f9"/>
    <w:pPr>
      <w:keepNext w:val="true"/>
      <w:keepLines/>
      <w:spacing w:before="40" w:after="0"/>
      <w:outlineLvl w:val="6"/>
    </w:pPr>
    <w:rPr>
      <w:rFonts w:cs="" w:cstheme="majorBidi"/>
      <w:b/>
      <w:bCs/>
      <w:color w:themeColor="text1" w:themeTint="a6" w:val="595959"/>
    </w:rPr>
  </w:style>
  <w:style w:type="paragraph" w:styleId="Heading8">
    <w:name w:val="heading 8"/>
    <w:basedOn w:val="Normal"/>
    <w:next w:val="Normal"/>
    <w:link w:val="8"/>
    <w:uiPriority w:val="9"/>
    <w:semiHidden/>
    <w:unhideWhenUsed/>
    <w:qFormat/>
    <w:rsid w:val="00e344f9"/>
    <w:pPr>
      <w:keepNext w:val="true"/>
      <w:keepLines/>
      <w:outlineLvl w:val="7"/>
    </w:pPr>
    <w:rPr>
      <w:rFonts w:cs="" w:cstheme="majorBidi"/>
      <w:color w:themeColor="text1" w:themeTint="a6" w:val="595959"/>
    </w:rPr>
  </w:style>
  <w:style w:type="paragraph" w:styleId="Heading9">
    <w:name w:val="heading 9"/>
    <w:basedOn w:val="Normal"/>
    <w:next w:val="Normal"/>
    <w:link w:val="9"/>
    <w:uiPriority w:val="9"/>
    <w:semiHidden/>
    <w:unhideWhenUsed/>
    <w:qFormat/>
    <w:rsid w:val="00e344f9"/>
    <w:pPr>
      <w:keepNext w:val="true"/>
      <w:keepLines/>
      <w:outlineLvl w:val="8"/>
    </w:pPr>
    <w:rPr>
      <w:rFonts w:eastAsia="等线 Light" w:cs="" w:cstheme="majorBidi" w:eastAsiaTheme="majorEastAsia"/>
      <w:color w:themeColor="text1" w:themeTint="a6" w:val="595959"/>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uiPriority w:val="9"/>
    <w:qFormat/>
    <w:rsid w:val="00e344f9"/>
    <w:rPr>
      <w:rFonts w:ascii="等线 Light" w:hAnsi="等线 Light" w:eastAsia="等线 Light" w:cs="" w:asciiTheme="majorHAnsi" w:cstheme="majorBidi" w:eastAsiaTheme="majorEastAsia" w:hAnsiTheme="majorHAnsi"/>
      <w:color w:themeColor="accent1" w:themeShade="bf" w:val="2F5496"/>
      <w:sz w:val="48"/>
      <w:szCs w:val="48"/>
    </w:rPr>
  </w:style>
  <w:style w:type="character" w:styleId="2" w:customStyle="1">
    <w:name w:val="标题 2 字符"/>
    <w:basedOn w:val="DefaultParagraphFont"/>
    <w:uiPriority w:val="9"/>
    <w:semiHidden/>
    <w:qFormat/>
    <w:rsid w:val="00e344f9"/>
    <w:rPr>
      <w:rFonts w:ascii="等线 Light" w:hAnsi="等线 Light" w:eastAsia="等线 Light" w:cs="" w:asciiTheme="majorHAnsi" w:cstheme="majorBidi" w:eastAsiaTheme="majorEastAsia" w:hAnsiTheme="majorHAnsi"/>
      <w:color w:themeColor="accent1" w:themeShade="bf" w:val="2F5496"/>
      <w:sz w:val="40"/>
      <w:szCs w:val="40"/>
    </w:rPr>
  </w:style>
  <w:style w:type="character" w:styleId="3" w:customStyle="1">
    <w:name w:val="标题 3 字符"/>
    <w:basedOn w:val="DefaultParagraphFont"/>
    <w:uiPriority w:val="9"/>
    <w:semiHidden/>
    <w:qFormat/>
    <w:rsid w:val="00e344f9"/>
    <w:rPr>
      <w:rFonts w:ascii="等线 Light" w:hAnsi="等线 Light" w:eastAsia="等线 Light" w:cs="" w:asciiTheme="majorHAnsi" w:cstheme="majorBidi" w:eastAsiaTheme="majorEastAsia" w:hAnsiTheme="majorHAnsi"/>
      <w:color w:themeColor="accent1" w:themeShade="bf" w:val="2F5496"/>
      <w:sz w:val="32"/>
      <w:szCs w:val="32"/>
    </w:rPr>
  </w:style>
  <w:style w:type="character" w:styleId="4" w:customStyle="1">
    <w:name w:val="标题 4 字符"/>
    <w:basedOn w:val="DefaultParagraphFont"/>
    <w:uiPriority w:val="9"/>
    <w:semiHidden/>
    <w:qFormat/>
    <w:rsid w:val="00e344f9"/>
    <w:rPr>
      <w:rFonts w:cs="" w:cstheme="majorBidi"/>
      <w:color w:themeColor="accent1" w:themeShade="bf" w:val="2F5496"/>
      <w:sz w:val="28"/>
      <w:szCs w:val="28"/>
    </w:rPr>
  </w:style>
  <w:style w:type="character" w:styleId="5" w:customStyle="1">
    <w:name w:val="标题 5 字符"/>
    <w:basedOn w:val="DefaultParagraphFont"/>
    <w:uiPriority w:val="9"/>
    <w:semiHidden/>
    <w:qFormat/>
    <w:rsid w:val="00e344f9"/>
    <w:rPr>
      <w:rFonts w:cs="" w:cstheme="majorBidi"/>
      <w:color w:themeColor="accent1" w:themeShade="bf" w:val="2F5496"/>
      <w:sz w:val="24"/>
    </w:rPr>
  </w:style>
  <w:style w:type="character" w:styleId="6" w:customStyle="1">
    <w:name w:val="标题 6 字符"/>
    <w:basedOn w:val="DefaultParagraphFont"/>
    <w:uiPriority w:val="9"/>
    <w:semiHidden/>
    <w:qFormat/>
    <w:rsid w:val="00e344f9"/>
    <w:rPr>
      <w:rFonts w:cs="" w:cstheme="majorBidi"/>
      <w:b/>
      <w:bCs/>
      <w:color w:themeColor="accent1" w:themeShade="bf" w:val="2F5496"/>
    </w:rPr>
  </w:style>
  <w:style w:type="character" w:styleId="7" w:customStyle="1">
    <w:name w:val="标题 7 字符"/>
    <w:basedOn w:val="DefaultParagraphFont"/>
    <w:uiPriority w:val="9"/>
    <w:semiHidden/>
    <w:qFormat/>
    <w:rsid w:val="00e344f9"/>
    <w:rPr>
      <w:rFonts w:cs="" w:cstheme="majorBidi"/>
      <w:b/>
      <w:bCs/>
      <w:color w:themeColor="text1" w:themeTint="a6" w:val="595959"/>
    </w:rPr>
  </w:style>
  <w:style w:type="character" w:styleId="8" w:customStyle="1">
    <w:name w:val="标题 8 字符"/>
    <w:basedOn w:val="DefaultParagraphFont"/>
    <w:uiPriority w:val="9"/>
    <w:semiHidden/>
    <w:qFormat/>
    <w:rsid w:val="00e344f9"/>
    <w:rPr>
      <w:rFonts w:cs="" w:cstheme="majorBidi"/>
      <w:color w:themeColor="text1" w:themeTint="a6" w:val="595959"/>
    </w:rPr>
  </w:style>
  <w:style w:type="character" w:styleId="9" w:customStyle="1">
    <w:name w:val="标题 9 字符"/>
    <w:basedOn w:val="DefaultParagraphFont"/>
    <w:uiPriority w:val="9"/>
    <w:semiHidden/>
    <w:qFormat/>
    <w:rsid w:val="00e344f9"/>
    <w:rPr>
      <w:rFonts w:eastAsia="等线 Light" w:cs="" w:cstheme="majorBidi" w:eastAsiaTheme="majorEastAsia"/>
      <w:color w:themeColor="text1" w:themeTint="a6" w:val="595959"/>
    </w:rPr>
  </w:style>
  <w:style w:type="character" w:styleId="Style5" w:customStyle="1">
    <w:name w:val="标题 字符"/>
    <w:basedOn w:val="DefaultParagraphFont"/>
    <w:uiPriority w:val="10"/>
    <w:qFormat/>
    <w:rsid w:val="00e344f9"/>
    <w:rPr>
      <w:rFonts w:ascii="等线 Light" w:hAnsi="等线 Light" w:eastAsia="等线 Light" w:cs="" w:asciiTheme="majorHAnsi" w:cstheme="majorBidi" w:eastAsiaTheme="majorEastAsia" w:hAnsiTheme="majorHAnsi"/>
      <w:spacing w:val="-10"/>
      <w:kern w:val="2"/>
      <w:sz w:val="56"/>
      <w:szCs w:val="56"/>
    </w:rPr>
  </w:style>
  <w:style w:type="character" w:styleId="Style6" w:customStyle="1">
    <w:name w:val="副标题 字符"/>
    <w:basedOn w:val="DefaultParagraphFont"/>
    <w:uiPriority w:val="11"/>
    <w:qFormat/>
    <w:rsid w:val="00e344f9"/>
    <w:rPr>
      <w:rFonts w:ascii="等线 Light" w:hAnsi="等线 Light" w:eastAsia="等线 Light" w:cs="" w:asciiTheme="majorHAnsi" w:cstheme="majorBidi" w:eastAsiaTheme="majorEastAsia" w:hAnsiTheme="majorHAnsi"/>
      <w:color w:themeColor="text1" w:themeTint="a6" w:val="595959"/>
      <w:spacing w:val="15"/>
      <w:sz w:val="28"/>
      <w:szCs w:val="28"/>
    </w:rPr>
  </w:style>
  <w:style w:type="character" w:styleId="Style7" w:customStyle="1">
    <w:name w:val="引用 字符"/>
    <w:basedOn w:val="DefaultParagraphFont"/>
    <w:link w:val="Quote"/>
    <w:uiPriority w:val="29"/>
    <w:qFormat/>
    <w:rsid w:val="00e344f9"/>
    <w:rPr>
      <w:i/>
      <w:iCs/>
      <w:color w:themeColor="text1" w:themeTint="bf" w:val="404040"/>
    </w:rPr>
  </w:style>
  <w:style w:type="character" w:styleId="IntenseEmphasis">
    <w:name w:val="Intense Emphasis"/>
    <w:basedOn w:val="DefaultParagraphFont"/>
    <w:uiPriority w:val="21"/>
    <w:qFormat/>
    <w:rsid w:val="00e344f9"/>
    <w:rPr>
      <w:i/>
      <w:iCs/>
      <w:color w:themeColor="accent1" w:themeShade="bf" w:val="2F5496"/>
    </w:rPr>
  </w:style>
  <w:style w:type="character" w:styleId="Style8" w:customStyle="1">
    <w:name w:val="明显引用 字符"/>
    <w:basedOn w:val="DefaultParagraphFont"/>
    <w:link w:val="IntenseQuote"/>
    <w:uiPriority w:val="30"/>
    <w:qFormat/>
    <w:rsid w:val="00e344f9"/>
    <w:rPr>
      <w:i/>
      <w:iCs/>
      <w:color w:themeColor="accent1" w:themeShade="bf" w:val="2F5496"/>
    </w:rPr>
  </w:style>
  <w:style w:type="character" w:styleId="IntenseReference">
    <w:name w:val="Intense Reference"/>
    <w:basedOn w:val="DefaultParagraphFont"/>
    <w:uiPriority w:val="32"/>
    <w:qFormat/>
    <w:rsid w:val="00e344f9"/>
    <w:rPr>
      <w:b/>
      <w:bCs/>
      <w:smallCaps/>
      <w:color w:themeColor="accent1" w:themeShade="bf" w:val="2F5496"/>
      <w:spacing w:val="5"/>
    </w:rPr>
  </w:style>
  <w:style w:type="character" w:styleId="Style9" w:customStyle="1">
    <w:name w:val="批注文字 字符"/>
    <w:basedOn w:val="DefaultParagraphFont"/>
    <w:uiPriority w:val="99"/>
    <w:semiHidden/>
    <w:qFormat/>
    <w:rsid w:val="00e344f9"/>
    <w:rPr>
      <w:rFonts w:ascii="Times New Roman" w:hAnsi="Times New Roman" w:eastAsia="宋体" w:cs="Times New Roman"/>
      <w:sz w:val="21"/>
      <w14:ligatures w14:val="none"/>
    </w:rPr>
  </w:style>
  <w:style w:type="character" w:styleId="Style10" w:customStyle="1">
    <w:name w:val="正文文本 字符"/>
    <w:basedOn w:val="DefaultParagraphFont"/>
    <w:qFormat/>
    <w:rsid w:val="00e344f9"/>
    <w:rPr>
      <w:rFonts w:ascii="Times New Roman" w:hAnsi="Times New Roman" w:eastAsia="宋体" w:cs="Times New Roman"/>
      <w:sz w:val="21"/>
      <w14:ligatures w14:val="none"/>
    </w:rPr>
  </w:style>
  <w:style w:type="character" w:styleId="Style11" w:customStyle="1">
    <w:name w:val="批注框文本 字符"/>
    <w:basedOn w:val="DefaultParagraphFont"/>
    <w:link w:val="BalloonText"/>
    <w:uiPriority w:val="99"/>
    <w:semiHidden/>
    <w:qFormat/>
    <w:rsid w:val="00e344f9"/>
    <w:rPr>
      <w:rFonts w:ascii="Times New Roman" w:hAnsi="Times New Roman" w:eastAsia="宋体" w:cs="Times New Roman"/>
      <w:sz w:val="18"/>
      <w:szCs w:val="18"/>
      <w14:ligatures w14:val="none"/>
    </w:rPr>
  </w:style>
  <w:style w:type="character" w:styleId="Style12" w:customStyle="1">
    <w:name w:val="页脚 字符"/>
    <w:basedOn w:val="DefaultParagraphFont"/>
    <w:uiPriority w:val="99"/>
    <w:qFormat/>
    <w:rsid w:val="00e344f9"/>
    <w:rPr>
      <w:rFonts w:ascii="Times New Roman" w:hAnsi="Times New Roman" w:eastAsia="宋体" w:cs="Times New Roman"/>
      <w:sz w:val="18"/>
      <w:szCs w:val="18"/>
      <w14:ligatures w14:val="none"/>
    </w:rPr>
  </w:style>
  <w:style w:type="character" w:styleId="Style13" w:customStyle="1">
    <w:name w:val="页眉 字符"/>
    <w:basedOn w:val="DefaultParagraphFont"/>
    <w:uiPriority w:val="99"/>
    <w:qFormat/>
    <w:rsid w:val="00e344f9"/>
    <w:rPr>
      <w:rFonts w:ascii="Times New Roman" w:hAnsi="Times New Roman" w:eastAsia="宋体" w:cs="Times New Roman"/>
      <w:sz w:val="18"/>
      <w:szCs w:val="18"/>
      <w14:ligatures w14:val="none"/>
    </w:rPr>
  </w:style>
  <w:style w:type="character" w:styleId="Style14" w:customStyle="1">
    <w:name w:val="脚注文本 字符"/>
    <w:basedOn w:val="DefaultParagraphFont"/>
    <w:uiPriority w:val="99"/>
    <w:qFormat/>
    <w:rsid w:val="00e344f9"/>
    <w:rPr>
      <w:rFonts w:ascii="Times New Roman" w:hAnsi="Times New Roman" w:eastAsia="宋体" w:cs="Times New Roman"/>
      <w:sz w:val="18"/>
      <w:szCs w:val="18"/>
      <w14:ligatures w14:val="none"/>
    </w:rPr>
  </w:style>
  <w:style w:type="character" w:styleId="Style15" w:customStyle="1">
    <w:name w:val="批注主题 字符"/>
    <w:basedOn w:val="Style9"/>
    <w:link w:val="annotationsubject"/>
    <w:uiPriority w:val="99"/>
    <w:semiHidden/>
    <w:qFormat/>
    <w:rsid w:val="00e344f9"/>
    <w:rPr>
      <w:rFonts w:ascii="Times New Roman" w:hAnsi="Times New Roman" w:eastAsia="宋体" w:cs="Times New Roman"/>
      <w:b/>
      <w:bCs/>
      <w:sz w:val="21"/>
      <w14:ligatures w14:val="none"/>
    </w:rPr>
  </w:style>
  <w:style w:type="character" w:styleId="Emphasis">
    <w:name w:val="Emphasis"/>
    <w:basedOn w:val="DefaultParagraphFont"/>
    <w:uiPriority w:val="20"/>
    <w:qFormat/>
    <w:rsid w:val="00e344f9"/>
    <w:rPr>
      <w:i/>
      <w:iCs/>
    </w:rPr>
  </w:style>
  <w:style w:type="character" w:styleId="CommentReference">
    <w:name w:val="annotation reference"/>
    <w:basedOn w:val="DefaultParagraphFont"/>
    <w:uiPriority w:val="99"/>
    <w:semiHidden/>
    <w:unhideWhenUsed/>
    <w:qFormat/>
    <w:rsid w:val="00e344f9"/>
    <w:rPr>
      <w:sz w:val="21"/>
      <w:szCs w:val="21"/>
    </w:rPr>
  </w:style>
  <w:style w:type="character" w:styleId="Style16">
    <w:name w:val="脚注符"/>
    <w:basedOn w:val="DefaultParagraphFont"/>
    <w:uiPriority w:val="99"/>
    <w:semiHidden/>
    <w:unhideWhenUsed/>
    <w:qFormat/>
    <w:rsid w:val="00e344f9"/>
    <w:rPr>
      <w:vertAlign w:val="superscript"/>
    </w:rPr>
  </w:style>
  <w:style w:type="character" w:styleId="FootnoteReference">
    <w:name w:val="footnote reference"/>
    <w:rPr>
      <w:vertAlign w:val="superscript"/>
    </w:rPr>
  </w:style>
  <w:style w:type="character" w:styleId="11" w:customStyle="1">
    <w:name w:val="不明显强调1"/>
    <w:basedOn w:val="DefaultParagraphFont"/>
    <w:uiPriority w:val="19"/>
    <w:qFormat/>
    <w:rsid w:val="00e344f9"/>
    <w:rPr>
      <w:i/>
      <w:iCs/>
    </w:rPr>
  </w:style>
  <w:style w:type="character" w:styleId="PlaceholderText">
    <w:name w:val="Placeholder Text"/>
    <w:basedOn w:val="DefaultParagraphFont"/>
    <w:uiPriority w:val="99"/>
    <w:semiHidden/>
    <w:qFormat/>
    <w:rsid w:val="00e344f9"/>
    <w:rPr>
      <w:color w:val="808080"/>
    </w:rPr>
  </w:style>
  <w:style w:type="character" w:styleId="EndNoteBibliographyTitle" w:customStyle="1">
    <w:name w:val="EndNote Bibliography Title 字符"/>
    <w:basedOn w:val="Style10"/>
    <w:link w:val="EndNoteBibliographyTitle1"/>
    <w:qFormat/>
    <w:rsid w:val="00e344f9"/>
    <w:rPr>
      <w:rFonts w:ascii="Times New Roman" w:hAnsi="Times New Roman" w:eastAsia="宋体" w:cs="Times New Roman"/>
      <w:sz w:val="20"/>
      <w14:ligatures w14:val="none"/>
    </w:rPr>
  </w:style>
  <w:style w:type="character" w:styleId="EndNoteBibliography" w:customStyle="1">
    <w:name w:val="EndNote Bibliography 字符"/>
    <w:basedOn w:val="Style10"/>
    <w:link w:val="EndNoteBibliography1"/>
    <w:qFormat/>
    <w:rsid w:val="00e344f9"/>
    <w:rPr>
      <w:rFonts w:ascii="Times New Roman" w:hAnsi="Times New Roman" w:eastAsia="宋体" w:cs="Times New Roman"/>
      <w:sz w:val="20"/>
      <w14:ligatures w14:val="none"/>
    </w:rPr>
  </w:style>
  <w:style w:type="paragraph" w:styleId="Style17">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link w:val="Style10"/>
    <w:qFormat/>
    <w:rsid w:val="00e344f9"/>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8">
    <w:name w:val="索引"/>
    <w:basedOn w:val="Normal"/>
    <w:qFormat/>
    <w:pPr>
      <w:suppressLineNumbers/>
    </w:pPr>
    <w:rPr>
      <w:rFonts w:cs="Noto Sans CJK SC"/>
    </w:rPr>
  </w:style>
  <w:style w:type="paragraph" w:styleId="Title">
    <w:name w:val="Title"/>
    <w:basedOn w:val="Normal"/>
    <w:next w:val="Normal"/>
    <w:link w:val="Style5"/>
    <w:uiPriority w:val="10"/>
    <w:qFormat/>
    <w:rsid w:val="00e344f9"/>
    <w:pPr>
      <w:spacing w:before="0" w:after="80"/>
      <w:contextualSpacing/>
      <w:jc w:val="center"/>
    </w:pPr>
    <w:rPr>
      <w:rFonts w:ascii="等线 Light" w:hAnsi="等线 Light" w:eastAsia="等线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e344f9"/>
    <w:pPr>
      <w:jc w:val="center"/>
    </w:pPr>
    <w:rPr>
      <w:rFonts w:ascii="等线 Light" w:hAnsi="等线 Light" w:eastAsia="等线 Light" w:cs="" w:asciiTheme="majorHAnsi" w:cstheme="majorBidi" w:eastAsiaTheme="majorEastAsia" w:hAnsiTheme="majorHAnsi"/>
      <w:color w:themeColor="text1" w:themeTint="a6" w:val="595959"/>
      <w:spacing w:val="15"/>
      <w:sz w:val="28"/>
      <w:szCs w:val="28"/>
    </w:rPr>
  </w:style>
  <w:style w:type="paragraph" w:styleId="Quote">
    <w:name w:val="Quote"/>
    <w:basedOn w:val="Normal"/>
    <w:next w:val="Normal"/>
    <w:link w:val="Style7"/>
    <w:uiPriority w:val="29"/>
    <w:qFormat/>
    <w:rsid w:val="00e344f9"/>
    <w:pPr>
      <w:spacing w:before="160" w:after="0"/>
      <w:jc w:val="center"/>
    </w:pPr>
    <w:rPr>
      <w:i/>
      <w:iCs/>
      <w:color w:themeColor="text1" w:themeTint="bf" w:val="404040"/>
    </w:rPr>
  </w:style>
  <w:style w:type="paragraph" w:styleId="ListParagraph">
    <w:name w:val="List Paragraph"/>
    <w:basedOn w:val="Normal"/>
    <w:autoRedefine/>
    <w:uiPriority w:val="34"/>
    <w:qFormat/>
    <w:rsid w:val="00e344f9"/>
    <w:pPr>
      <w:ind w:firstLine="420"/>
    </w:pPr>
    <w:rPr/>
  </w:style>
  <w:style w:type="paragraph" w:styleId="IntenseQuote">
    <w:name w:val="Intense Quote"/>
    <w:basedOn w:val="Normal"/>
    <w:next w:val="Normal"/>
    <w:link w:val="Style8"/>
    <w:uiPriority w:val="30"/>
    <w:qFormat/>
    <w:rsid w:val="00e344f9"/>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paragraph" w:styleId="CommentText">
    <w:name w:val="annotation text"/>
    <w:basedOn w:val="Normal"/>
    <w:link w:val="Style9"/>
    <w:autoRedefine/>
    <w:uiPriority w:val="99"/>
    <w:semiHidden/>
    <w:unhideWhenUsed/>
    <w:qFormat/>
    <w:rsid w:val="00e344f9"/>
    <w:pPr>
      <w:jc w:val="left"/>
    </w:pPr>
    <w:rPr/>
  </w:style>
  <w:style w:type="paragraph" w:styleId="BalloonText">
    <w:name w:val="Balloon Text"/>
    <w:basedOn w:val="Normal"/>
    <w:link w:val="Style11"/>
    <w:autoRedefine/>
    <w:uiPriority w:val="99"/>
    <w:semiHidden/>
    <w:unhideWhenUsed/>
    <w:qFormat/>
    <w:rsid w:val="00e344f9"/>
    <w:pPr/>
    <w:rPr>
      <w:sz w:val="18"/>
      <w:szCs w:val="18"/>
    </w:rPr>
  </w:style>
  <w:style w:type="paragraph" w:styleId="Style19">
    <w:name w:val="页眉与页脚"/>
    <w:basedOn w:val="Normal"/>
    <w:qFormat/>
    <w:pPr/>
    <w:rPr/>
  </w:style>
  <w:style w:type="paragraph" w:styleId="Footer">
    <w:name w:val="footer"/>
    <w:basedOn w:val="Normal"/>
    <w:link w:val="Style12"/>
    <w:autoRedefine/>
    <w:uiPriority w:val="99"/>
    <w:unhideWhenUsed/>
    <w:qFormat/>
    <w:rsid w:val="00e344f9"/>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3"/>
    <w:autoRedefine/>
    <w:uiPriority w:val="99"/>
    <w:unhideWhenUsed/>
    <w:qFormat/>
    <w:rsid w:val="00e344f9"/>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noteText">
    <w:name w:val="footnote text"/>
    <w:basedOn w:val="Normal"/>
    <w:link w:val="Style14"/>
    <w:autoRedefine/>
    <w:uiPriority w:val="99"/>
    <w:unhideWhenUsed/>
    <w:qFormat/>
    <w:rsid w:val="00e344f9"/>
    <w:pPr>
      <w:snapToGrid w:val="false"/>
      <w:jc w:val="left"/>
    </w:pPr>
    <w:rPr>
      <w:sz w:val="18"/>
      <w:szCs w:val="18"/>
    </w:rPr>
  </w:style>
  <w:style w:type="paragraph" w:styleId="NormalWeb">
    <w:name w:val="Normal (Web)"/>
    <w:basedOn w:val="Normal"/>
    <w:autoRedefine/>
    <w:uiPriority w:val="99"/>
    <w:unhideWhenUsed/>
    <w:qFormat/>
    <w:rsid w:val="00e344f9"/>
    <w:pPr>
      <w:widowControl/>
      <w:spacing w:beforeAutospacing="1" w:afterAutospacing="1"/>
      <w:jc w:val="left"/>
    </w:pPr>
    <w:rPr>
      <w:rFonts w:ascii="宋体" w:hAnsi="宋体" w:cs="宋体"/>
      <w:kern w:val="0"/>
      <w:sz w:val="24"/>
    </w:rPr>
  </w:style>
  <w:style w:type="paragraph" w:styleId="annotationsubject">
    <w:name w:val="annotation subject"/>
    <w:basedOn w:val="CommentText"/>
    <w:next w:val="CommentText"/>
    <w:link w:val="Style15"/>
    <w:autoRedefine/>
    <w:uiPriority w:val="99"/>
    <w:semiHidden/>
    <w:unhideWhenUsed/>
    <w:qFormat/>
    <w:rsid w:val="00e344f9"/>
    <w:pPr/>
    <w:rPr>
      <w:b/>
      <w:bCs/>
    </w:rPr>
  </w:style>
  <w:style w:type="paragraph" w:styleId="DecimalAligned" w:customStyle="1">
    <w:name w:val="Decimal Aligned"/>
    <w:basedOn w:val="Normal"/>
    <w:autoRedefine/>
    <w:uiPriority w:val="40"/>
    <w:qFormat/>
    <w:rsid w:val="00e344f9"/>
    <w:pPr>
      <w:widowControl/>
      <w:tabs>
        <w:tab w:val="clear" w:pos="420"/>
        <w:tab w:val="decimal" w:pos="360" w:leader="none"/>
      </w:tabs>
      <w:spacing w:lineRule="auto" w:line="276" w:before="0" w:after="200"/>
      <w:jc w:val="left"/>
    </w:pPr>
    <w:rPr>
      <w:rFonts w:ascii="等线" w:hAnsi="等线" w:eastAsia="等线" w:asciiTheme="minorHAnsi" w:eastAsiaTheme="minorEastAsia" w:hAnsiTheme="minorHAnsi"/>
      <w:kern w:val="0"/>
      <w:sz w:val="22"/>
      <w:szCs w:val="22"/>
    </w:rPr>
  </w:style>
  <w:style w:type="paragraph" w:styleId="12" w:customStyle="1">
    <w:name w:val="修订1"/>
    <w:autoRedefine/>
    <w:uiPriority w:val="99"/>
    <w:semiHidden/>
    <w:qFormat/>
    <w:rsid w:val="00e344f9"/>
    <w:pPr>
      <w:widowControl/>
      <w:bidi w:val="0"/>
      <w:spacing w:lineRule="auto" w:line="240" w:before="0" w:after="0"/>
      <w:jc w:val="left"/>
    </w:pPr>
    <w:rPr>
      <w:rFonts w:ascii="Times New Roman" w:hAnsi="Times New Roman" w:eastAsia="宋体" w:cs="Times New Roman"/>
      <w:color w:val="auto"/>
      <w:kern w:val="2"/>
      <w:sz w:val="21"/>
      <w:szCs w:val="24"/>
      <w:lang w:val="en-US" w:eastAsia="zh-CN" w:bidi="ar-SA"/>
      <w14:ligatures w14:val="none"/>
    </w:rPr>
  </w:style>
  <w:style w:type="paragraph" w:styleId="EndNoteBibliographyTitle1" w:customStyle="1">
    <w:name w:val="EndNote Bibliography Title"/>
    <w:basedOn w:val="Normal"/>
    <w:link w:val="EndNoteBibliographyTitle"/>
    <w:qFormat/>
    <w:rsid w:val="00e344f9"/>
    <w:pPr>
      <w:jc w:val="center"/>
    </w:pPr>
    <w:rPr>
      <w:sz w:val="20"/>
    </w:rPr>
  </w:style>
  <w:style w:type="paragraph" w:styleId="EndNoteBibliography1" w:customStyle="1">
    <w:name w:val="EndNote Bibliography"/>
    <w:basedOn w:val="Normal"/>
    <w:link w:val="EndNoteBibliography"/>
    <w:qFormat/>
    <w:rsid w:val="00e344f9"/>
    <w:pPr/>
    <w:rPr>
      <w:sz w:val="20"/>
    </w:rPr>
  </w:style>
  <w:style w:type="paragraph" w:styleId="msolistparagraph" w:customStyle="1">
    <w:name w:val="msolistparagraph"/>
    <w:basedOn w:val="Normal"/>
    <w:qFormat/>
    <w:rsid w:val="00e344f9"/>
    <w:pPr>
      <w:ind w:firstLine="420"/>
    </w:pPr>
    <w:rPr/>
  </w:style>
  <w:style w:type="paragraph" w:styleId="Style20">
    <w:name w:val="框架内容"/>
    <w:basedOn w:val="Normal"/>
    <w:qFormat/>
    <w:pPr/>
    <w:rPr/>
  </w:style>
  <w:style w:type="paragraph" w:styleId="Style21">
    <w:name w:val="页眉左侧"/>
    <w:basedOn w:val="Header"/>
    <w:qFormat/>
    <w:pPr/>
    <w:rPr/>
  </w:style>
  <w:style w:type="numbering" w:styleId="Style22"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d">
    <w:name w:val="Table Grid"/>
    <w:basedOn w:val="a1"/>
    <w:uiPriority w:val="39"/>
    <w:qFormat/>
    <w:rsid w:val="00e344f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Medium Shading 2 Accent 5"/>
    <w:basedOn w:val="a1"/>
    <w:uiPriority w:val="64"/>
    <w:qFormat/>
    <w:rsid w:val="00e344f9"/>
    <w:pPr>
      <w:spacing w:after="0" w:line="240" w:lineRule="auto"/>
    </w:pPr>
    <w:rPr>
      <w:szCs w:val="20"/>
    </w:rPr>
    <w:tblPr>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customStyle="1" w:styleId="31">
    <w:name w:val="无格式表格 31"/>
    <w:basedOn w:val="a1"/>
    <w:uiPriority w:val="43"/>
    <w:qFormat/>
    <w:rsid w:val="00e344f9"/>
    <w:pPr>
      <w:spacing w:after="0" w:line="240" w:lineRule="auto"/>
    </w:pPr>
    <w:rPr>
      <w:sz w:val="20"/>
      <w:szCs w:val="20"/>
    </w:r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a1"/>
    <w:uiPriority w:val="45"/>
    <w:qFormat/>
    <w:rsid w:val="00e344f9"/>
    <w:pPr>
      <w:spacing w:after="0" w:line="240" w:lineRule="auto"/>
    </w:pPr>
    <w:rPr>
      <w:sz w:val="20"/>
      <w:szCs w:val="20"/>
    </w:r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uiPriority w:val="42"/>
    <w:qFormat/>
    <w:rsid w:val="00e344f9"/>
    <w:pPr>
      <w:spacing w:after="0" w:line="240" w:lineRule="auto"/>
    </w:pPr>
    <w:rPr>
      <w:sz w:val="20"/>
      <w:szCs w:val="20"/>
    </w:rPr>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110">
    <w:name w:val="无格式表格 11"/>
    <w:basedOn w:val="a1"/>
    <w:uiPriority w:val="41"/>
    <w:qFormat/>
    <w:rsid w:val="00e344f9"/>
    <w:pPr>
      <w:spacing w:after="0" w:line="240" w:lineRule="auto"/>
    </w:pPr>
    <w:rPr>
      <w:sz w:val="20"/>
      <w:szCs w:val="20"/>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qFormat/>
    <w:rsid w:val="00e344f9"/>
    <w:pPr>
      <w:spacing w:after="0" w:line="240" w:lineRule="auto"/>
    </w:pPr>
    <w:rPr>
      <w:sz w:val="20"/>
      <w:szCs w:val="20"/>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14">
    <w:name w:val="网格型1"/>
    <w:basedOn w:val="a1"/>
    <w:uiPriority w:val="39"/>
    <w:qFormat/>
    <w:rsid w:val="00e344f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header" Target="header1.xml"/><Relationship Id="rId13" Type="http://schemas.openxmlformats.org/officeDocument/2006/relationships/footer" Target="footer10.xml"/><Relationship Id="rId14" Type="http://schemas.openxmlformats.org/officeDocument/2006/relationships/footer" Target="footer1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header" Target="header4.xml"/><Relationship Id="rId20" Type="http://schemas.openxmlformats.org/officeDocument/2006/relationships/header" Target="header5.xml"/><Relationship Id="rId21" Type="http://schemas.openxmlformats.org/officeDocument/2006/relationships/footer" Target="footer14.xml"/><Relationship Id="rId22" Type="http://schemas.openxmlformats.org/officeDocument/2006/relationships/footer" Target="footer15.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header" Target="header8.xml"/><Relationship Id="rId28" Type="http://schemas.openxmlformats.org/officeDocument/2006/relationships/footer" Target="footer18.xml"/><Relationship Id="rId2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header" Target="header11.xml"/><Relationship Id="rId45" Type="http://schemas.openxmlformats.org/officeDocument/2006/relationships/header" Target="header12.xml"/><Relationship Id="rId46" Type="http://schemas.openxmlformats.org/officeDocument/2006/relationships/footer" Target="footer21.xml"/><Relationship Id="rId47" Type="http://schemas.openxmlformats.org/officeDocument/2006/relationships/footer" Target="footer22.xml"/><Relationship Id="rId48" Type="http://schemas.openxmlformats.org/officeDocument/2006/relationships/header" Target="header13.xml"/><Relationship Id="rId49" Type="http://schemas.openxmlformats.org/officeDocument/2006/relationships/header" Target="header14.xml"/><Relationship Id="rId50" Type="http://schemas.openxmlformats.org/officeDocument/2006/relationships/footer" Target="footer23.xml"/><Relationship Id="rId51" Type="http://schemas.openxmlformats.org/officeDocument/2006/relationships/footer" Target="footer2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25.xml"/><Relationship Id="rId55" Type="http://schemas.openxmlformats.org/officeDocument/2006/relationships/footer" Target="footer26.xml"/><Relationship Id="rId56" Type="http://schemas.openxmlformats.org/officeDocument/2006/relationships/header" Target="header17.xml"/><Relationship Id="rId57" Type="http://schemas.openxmlformats.org/officeDocument/2006/relationships/footer" Target="footer27.xml"/><Relationship Id="rId58" Type="http://schemas.openxmlformats.org/officeDocument/2006/relationships/header" Target="header18.xml"/><Relationship Id="rId59" Type="http://schemas.openxmlformats.org/officeDocument/2006/relationships/header" Target="header1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20.xml"/><Relationship Id="rId63" Type="http://schemas.openxmlformats.org/officeDocument/2006/relationships/header" Target="header2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pitchFamily="0" charset="1"/>
        <a:ea typeface=""/>
        <a:cs typeface=""/>
      </a:majorFont>
      <a:minorFont>
        <a:latin typeface="等线"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96</TotalTime>
  <Application>LibreOffice/24.8.4.2$Linux_X86_64 LibreOffice_project/3e97788786b20d724e2ed0ea7a111abce73cab63</Application>
  <AppVersion>15.0000</AppVersion>
  <Pages>31</Pages>
  <Words>18632</Words>
  <Characters>34194</Characters>
  <CharactersWithSpaces>37398</CharactersWithSpaces>
  <Paragraphs>474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2025-02-06T06:56:00Z</dcterms:created>
  <dc:creator>Administrator</dc:creator>
  <dc:description/>
  <dc:language>zh-CN</dc:language>
  <cp:lastModifiedBy/>
  <dcterms:modified xsi:type="dcterms:W3CDTF">2025-02-12T14:14:31Z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