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b/>
          <w:bCs/>
        </w:rPr>
        <w:t>The Influence of Microplate Spacing on Mandibular Ramus Fracture Fixation Stability: A Biomechanical Finite Element Analysis</w:t>
      </w:r>
    </w:p>
    <w:p>
      <w:pPr>
        <w:pStyle w:val="Normal"/>
        <w:rPr/>
      </w:pPr>
      <w:r>
        <w:rPr/>
      </w:r>
    </w:p>
    <w:p>
      <w:pPr>
        <w:pStyle w:val="Normal"/>
        <w:rPr/>
      </w:pPr>
      <w:r>
        <w:rPr/>
        <w:t>Ruize Tang</w:t>
      </w:r>
      <w:r>
        <w:rPr>
          <w:vertAlign w:val="superscript"/>
        </w:rPr>
        <w:t>1</w:t>
      </w:r>
      <w:r>
        <w:rPr/>
        <w:t>,Qing Cui</w:t>
      </w:r>
      <w:r>
        <w:rPr>
          <w:vertAlign w:val="superscript"/>
        </w:rPr>
        <w:t>1,2</w:t>
      </w:r>
      <w:r>
        <w:rPr/>
        <w:t>,Shuo Ren</w:t>
      </w:r>
      <w:r>
        <w:rPr>
          <w:vertAlign w:val="superscript"/>
        </w:rPr>
        <w:t>1</w:t>
      </w:r>
      <w:r>
        <w:rPr/>
        <w:t>,UNURJARGL KHADBAATAR</w:t>
      </w:r>
      <w:r>
        <w:rPr>
          <w:vertAlign w:val="superscript"/>
        </w:rPr>
        <w:t>1</w:t>
      </w:r>
      <w:r>
        <w:rPr/>
        <w:t>,Jingxu Li</w:t>
      </w:r>
      <w:r>
        <w:rPr>
          <w:vertAlign w:val="superscript"/>
        </w:rPr>
        <w:t>1</w:t>
      </w:r>
      <w:r>
        <w:rPr/>
        <w:t>(corresponding author)</w:t>
      </w:r>
    </w:p>
    <w:p>
      <w:pPr>
        <w:pStyle w:val="Normal"/>
        <w:rPr/>
      </w:pPr>
      <w:r>
        <w:rPr/>
        <w:t>corresponding author Email Address:0000007562@ybu.edu.cn</w:t>
      </w:r>
    </w:p>
    <w:p>
      <w:pPr>
        <w:pStyle w:val="Normal"/>
        <w:rPr/>
      </w:pPr>
      <w:r>
        <w:rPr/>
        <w:t>1.Department of Stomatology, Affiliated Hospital of Yanbian University(Yanbian Hospital),Yanji 133000,Jilin</w:t>
      </w:r>
      <w:r>
        <w:rPr/>
        <w:t xml:space="preserve">， </w:t>
      </w:r>
      <w:r>
        <w:rPr/>
        <w:t>China</w:t>
      </w:r>
    </w:p>
    <w:p>
      <w:pPr>
        <w:pStyle w:val="Normal"/>
        <w:rPr/>
      </w:pPr>
      <w:r>
        <w:rPr/>
        <w:t>2. School of Stomatology, Baicheng Medical College,Baicheng,Jilin Province,137000 China</w:t>
      </w:r>
    </w:p>
    <w:p>
      <w:pPr>
        <w:pStyle w:val="Normal"/>
        <w:rPr/>
      </w:pPr>
      <w:r>
        <w:rPr/>
      </w:r>
    </w:p>
    <w:p>
      <w:pPr>
        <w:pStyle w:val="Normal"/>
        <w:rPr/>
      </w:pPr>
      <w:r>
        <w:rPr/>
      </w:r>
    </w:p>
    <w:p>
      <w:pPr>
        <w:pStyle w:val="Normal"/>
        <w:rPr/>
      </w:pPr>
      <w:r>
        <w:rPr>
          <w:b/>
          <w:bCs/>
        </w:rPr>
        <w:t>Abstract:</w:t>
      </w:r>
    </w:p>
    <w:p>
      <w:pPr>
        <w:pStyle w:val="Normal"/>
        <w:rPr/>
      </w:pPr>
      <w:r>
        <w:rPr>
          <w:b/>
          <w:bCs/>
        </w:rPr>
        <w:t>Objective</w:t>
      </w:r>
      <w:r>
        <w:rP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pPr>
        <w:pStyle w:val="Normal"/>
        <w:rPr/>
      </w:pPr>
      <w:r>
        <w:rPr>
          <w:b/>
          <w:bCs/>
        </w:rPr>
        <w:t>Methods</w:t>
      </w:r>
      <w:r>
        <w:rP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pPr>
        <w:pStyle w:val="Normal"/>
        <w:rPr/>
      </w:pPr>
      <w:r>
        <w:rPr>
          <w:b/>
          <w:bCs/>
        </w:rPr>
        <w:t>Results</w:t>
      </w:r>
      <w:r>
        <w:rP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direct healing.</w:t>
      </w:r>
    </w:p>
    <w:p>
      <w:pPr>
        <w:pStyle w:val="Normal"/>
        <w:rPr/>
      </w:pPr>
      <w:r>
        <w:rPr>
          <w:b/>
          <w:bCs/>
        </w:rPr>
        <w:t>Conclusion</w:t>
      </w:r>
      <w:r>
        <w:rP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pPr>
        <w:pStyle w:val="Normal"/>
        <w:rPr/>
      </w:pPr>
      <w:r>
        <w:rPr/>
      </w:r>
    </w:p>
    <w:p>
      <w:pPr>
        <w:pStyle w:val="Normal"/>
        <w:rPr/>
      </w:pPr>
      <w:r>
        <w:rPr>
          <w:b/>
          <w:bCs/>
        </w:rPr>
        <w:t>Keywords</w:t>
      </w:r>
      <w:r>
        <w:rPr/>
        <w:t>: Mandibular Fracture; Rigid Internal Fixation; Microplate; Fixation Method; Finite Element Analysis</w:t>
      </w:r>
    </w:p>
    <w:p>
      <w:pPr>
        <w:pStyle w:val="Normal"/>
        <w:rPr/>
      </w:pPr>
      <w:r>
        <w:rPr/>
      </w:r>
    </w:p>
    <w:p>
      <w:pPr>
        <w:pStyle w:val="Normal"/>
        <w:rPr/>
      </w:pPr>
      <w:r>
        <w:rPr>
          <w:b/>
          <w:bCs/>
        </w:rPr>
        <w:t>Introduction</w:t>
      </w:r>
      <w:r>
        <w:rPr/>
        <w:t>:</w:t>
      </w:r>
    </w:p>
    <w:p>
      <w:pPr>
        <w:pStyle w:val="Normal"/>
        <w:rPr/>
      </w:pPr>
      <w:r>
        <w:rPr/>
      </w:r>
    </w:p>
    <w:p>
      <w:pPr>
        <w:pStyle w:val="Normal"/>
        <w:ind w:firstLine="420"/>
        <w:rPr/>
      </w:pPr>
      <w:r>
        <w:rPr/>
        <w:t xml:space="preserve">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 [1]. The mandibular ramus is located below the condyle and coronoid process, above the angle of the mandible, and the thickness of its bone plate is relatively thinner than that of the mandibular body. However, due to its special anatomical position, it is less prone to fractures, </w:t>
      </w:r>
      <w:r>
        <w:rPr>
          <w:b/>
          <w:bCs/>
        </w:rPr>
        <w:t>The incidence of mandibular ramus fractures accounts for 17.5% of all mandibular fractures.</w:t>
      </w:r>
      <w:r>
        <w:rPr/>
        <w:t>（</w:t>
      </w:r>
      <w:r>
        <w:rPr/>
        <w:t>1</w:t>
      </w:r>
      <w:r>
        <w:rPr/>
        <w:t>）</w:t>
      </w:r>
      <w:r>
        <w:rPr/>
        <w:t>.with an incidence only slightly higher than that of condylar and alveolar process fractures [2-4].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 [5].</w:t>
      </w:r>
    </w:p>
    <w:p>
      <w:pPr>
        <w:pStyle w:val="Normal"/>
        <w:ind w:firstLine="420"/>
        <w:rPr/>
      </w:pPr>
      <w:r>
        <w:rPr/>
        <w:t>Finite element analysis (FEA) is an important method for mechanical research. It can predict the mechanical response of an object by simulating different loading conditions on the object after assigning different materials to it using a computer. In 1960, Friedenberg [7] first introduced FEA into the field of medicine. In 1973, FEA was first applied to biomechanical research in dentistry by Thresher et al. [8]. This method has been widely developed in various fields of dentistry. It can model digitalized imaging data and simulate different stress conditions, with the advantages of non-destructiveness, reproducibility of experiments, and quantifiable analysis of results.</w:t>
      </w:r>
    </w:p>
    <w:p>
      <w:pPr>
        <w:pStyle w:val="Normal"/>
        <w:ind w:firstLine="420"/>
        <w:rPr/>
      </w:pPr>
      <w:r>
        <w:rPr/>
        <w:t>In the field of oral and maxillofacial surgery, FEA is often used in biomechanical research on topics such as the mechanical mechanism of fracture occurrence [9] and the stability analysis of fractures after fixation [10]. At present, there have been many biomechanical studies on the stability of fractures after fixation in the field of oral and maxillofacial surgery, but there is still controversy regarding the selection of spacing between two microplates for fixation of the mandibular ramus.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pPr>
        <w:pStyle w:val="Normal"/>
        <w:rPr/>
      </w:pPr>
      <w:r>
        <w:rPr/>
      </w:r>
    </w:p>
    <w:p>
      <w:pPr>
        <w:pStyle w:val="Normal"/>
        <w:rPr/>
      </w:pPr>
      <w:r>
        <w:rPr>
          <w:b/>
          <w:bCs/>
        </w:rPr>
        <w:t>Materials and Methods</w:t>
      </w:r>
      <w:r>
        <w:rPr/>
        <w:t>:</w:t>
      </w:r>
    </w:p>
    <w:p>
      <w:pPr>
        <w:pStyle w:val="Normal"/>
        <w:rPr/>
      </w:pPr>
      <w:r>
        <w:rPr/>
      </w:r>
    </w:p>
    <w:p>
      <w:pPr>
        <w:pStyle w:val="ListParagraph"/>
        <w:numPr>
          <w:ilvl w:val="1"/>
          <w:numId w:val="1"/>
        </w:numPr>
        <w:rPr/>
      </w:pPr>
      <w:r>
        <w:rPr>
          <w:b/>
          <w:bCs/>
        </w:rPr>
        <w:t>Three-dimensional Reconstruction of the Mandible Model</w:t>
      </w:r>
      <w:r>
        <w:rPr/>
        <w:t>:</w:t>
      </w:r>
    </w:p>
    <w:p>
      <w:pPr>
        <w:pStyle w:val="ListParagraph"/>
        <w:ind w:hanging="0" w:left="360"/>
        <w:rPr/>
      </w:pPr>
      <w:r>
        <w:rPr/>
      </w:r>
    </w:p>
    <w:p>
      <w:pPr>
        <w:pStyle w:val="Normal"/>
        <w:ind w:firstLine="420"/>
        <w:rPr/>
      </w:pPr>
      <w:r>
        <w:rPr/>
        <w:t xml:space="preserve">A healthy adult volunteer was selected, and </w:t>
      </w:r>
      <w:r>
        <w:rPr>
          <w:b/>
          <w:bCs/>
        </w:rPr>
        <w:t>Cone Beam Computed Tomography(CBCT)</w:t>
      </w:r>
      <w:r>
        <w:rPr/>
        <w:t xml:space="preserve"> was used to scan the volunteer’s maxillofacial region. This study has been approved by the Ethics Committee of Yanbian University Affiliated Hospital (2024210), and informed consent was obtained from the volunteer before the experiment. The scan results were stored in Digital Imaging and Communications in Medicine(DICOM)format. The CBCT image data were imported into the medical three-dimensional reconstruction software Mimics 26.0 (Materialise, USA). The CBCT images were three-dimensionally reconstructed through the mask command, separately reconstructing the mandible and the mandibular dentition, and saved in .stl format. In 3-Matic 18.0 (Materialise, USA), the reconstructed model was optimized by redrawing the grid, local smoothing, and checking for problems such as overlapping surfaces and missing surfaces. The “Uniform Offset” command was used to establish a cancellous bone model of the maxilla and to establish a uniformly enlarged dentition required for the periodontal membrane.</w:t>
      </w:r>
    </w:p>
    <w:p>
      <w:pPr>
        <w:pStyle w:val="Normal"/>
        <w:ind w:firstLine="420"/>
        <w:rPr/>
      </w:pPr>
      <w:r>
        <w:rPr/>
      </w:r>
    </w:p>
    <w:p>
      <w:pPr>
        <w:pStyle w:val="ListParagraph"/>
        <w:numPr>
          <w:ilvl w:val="1"/>
          <w:numId w:val="1"/>
        </w:numPr>
        <w:rPr/>
      </w:pPr>
      <w:r>
        <w:rPr>
          <w:b/>
          <w:bCs/>
        </w:rPr>
        <w:t>Establishment of the Finite Element Model</w:t>
      </w:r>
      <w:r>
        <w:rPr/>
        <w:t>:</w:t>
      </w:r>
    </w:p>
    <w:p>
      <w:pPr>
        <w:pStyle w:val="Normal"/>
        <w:rPr/>
      </w:pPr>
      <w:r>
        <w:rPr/>
      </w:r>
    </w:p>
    <w:p>
      <w:pPr>
        <w:pStyle w:val="Normal"/>
        <w:ind w:firstLine="420"/>
        <w:rPr/>
      </w:pPr>
      <w:r>
        <w:rPr/>
        <w:t>The above-mentioned .stl three-dimensional model was imported into the SpaceClaim sub-module of the finite element analysis software Ansys 2021R (ANSYS, USA). The AutoSkin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pPr>
        <w:pStyle w:val="Normal"/>
        <w:rPr/>
      </w:pPr>
      <w:r>
        <w:rPr/>
      </w:r>
    </w:p>
    <w:p>
      <w:pPr>
        <w:pStyle w:val="Normal"/>
        <w:jc w:val="center"/>
        <w:rPr/>
      </w:pPr>
      <w:r>
        <w:rPr/>
        <w:drawing>
          <wp:inline distT="0" distB="0" distL="0" distR="0">
            <wp:extent cx="2626995" cy="187198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2"/>
                    <a:stretch>
                      <a:fillRect/>
                    </a:stretch>
                  </pic:blipFill>
                  <pic:spPr bwMode="auto">
                    <a:xfrm>
                      <a:off x="0" y="0"/>
                      <a:ext cx="2626995" cy="1871980"/>
                    </a:xfrm>
                    <a:prstGeom prst="rect">
                      <a:avLst/>
                    </a:prstGeom>
                    <a:noFill/>
                  </pic:spPr>
                </pic:pic>
              </a:graphicData>
            </a:graphic>
          </wp:inline>
        </w:drawing>
      </w:r>
    </w:p>
    <w:p>
      <w:pPr>
        <w:pStyle w:val="Normal"/>
        <w:jc w:val="center"/>
        <w:rPr>
          <w:b/>
          <w:bCs/>
        </w:rPr>
      </w:pPr>
      <w:r>
        <w:rPr>
          <w:b/>
          <w:bCs/>
        </w:rPr>
        <w:t>Figure 1. Type I Fracture Line of the Mandibular Ramus</w:t>
      </w:r>
    </w:p>
    <w:p>
      <w:pPr>
        <w:pStyle w:val="Normal"/>
        <w:jc w:val="center"/>
        <w:rPr/>
      </w:pPr>
      <w:r>
        <w:rPr/>
        <w:drawing>
          <wp:inline distT="0" distB="0" distL="0" distR="0">
            <wp:extent cx="5274310" cy="395478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3954780"/>
                    </a:xfrm>
                    <a:prstGeom prst="rect">
                      <a:avLst/>
                    </a:prstGeom>
                    <a:noFill/>
                  </pic:spPr>
                </pic:pic>
              </a:graphicData>
            </a:graphic>
          </wp:inline>
        </w:drawing>
      </w:r>
    </w:p>
    <w:p>
      <w:pPr>
        <w:pStyle w:val="Normal"/>
        <w:ind w:firstLine="420"/>
        <w:rPr/>
      </w:pPr>
      <w:r>
        <w:rPr/>
        <w:drawing>
          <wp:inline distT="0" distB="0" distL="0" distR="0">
            <wp:extent cx="748665" cy="81788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748665" cy="817880"/>
                    </a:xfrm>
                    <a:prstGeom prst="rect">
                      <a:avLst/>
                    </a:prstGeom>
                    <a:noFill/>
                  </pic:spPr>
                </pic:pic>
              </a:graphicData>
            </a:graphic>
          </wp:inline>
        </w:drawing>
      </w:r>
    </w:p>
    <w:p>
      <w:pPr>
        <w:pStyle w:val="Normal"/>
        <w:ind w:firstLine="420"/>
        <w:jc w:val="center"/>
        <w:rPr/>
      </w:pPr>
      <w:r>
        <w:rPr>
          <w:b/>
          <w:bCs/>
        </w:rPr>
        <w:t>Figure 2. Design of Microplate Spacing (2mm-23mm</w:t>
      </w:r>
      <w:r>
        <w:rPr/>
        <w:t>)</w:t>
      </w:r>
    </w:p>
    <w:p>
      <w:pPr>
        <w:pStyle w:val="Normal"/>
        <w:ind w:firstLine="420"/>
        <w:jc w:val="center"/>
        <w:rPr/>
      </w:pPr>
      <w:r>
        <w:rPr/>
      </w:r>
    </w:p>
    <w:p>
      <w:pPr>
        <w:pStyle w:val="ListParagraph"/>
        <w:numPr>
          <w:ilvl w:val="1"/>
          <w:numId w:val="1"/>
        </w:numPr>
        <w:rPr/>
      </w:pPr>
      <w:r>
        <w:rPr>
          <w:b/>
          <w:bCs/>
        </w:rPr>
        <w:t>Finite Element Analysis</w:t>
      </w:r>
      <w:r>
        <w:rPr/>
        <w:t>:</w:t>
      </w:r>
    </w:p>
    <w:p>
      <w:pPr>
        <w:pStyle w:val="Normal"/>
        <w:rPr/>
      </w:pPr>
      <w:r>
        <w:rPr/>
      </w:r>
    </w:p>
    <w:p>
      <w:pPr>
        <w:pStyle w:val="Normal"/>
        <w:ind w:firstLine="420"/>
        <w:rPr/>
      </w:pPr>
      <w:r>
        <w:rP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 [11, 12]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pPr>
        <w:pStyle w:val="Normal"/>
        <w:ind w:firstLine="840"/>
        <w:jc w:val="center"/>
        <w:rPr/>
      </w:pPr>
      <w:r>
        <w:rPr>
          <w:b/>
          <w:bCs/>
        </w:rPr>
        <w:t>Table 1. Material Properties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Material</w:t>
            </w:r>
          </w:p>
        </w:tc>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Elastic Modulus / MPa</w:t>
            </w:r>
          </w:p>
        </w:tc>
        <w:tc>
          <w:tcPr>
            <w:tcW w:w="2766"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Poisson’s Ratio</w:t>
            </w:r>
          </w:p>
        </w:tc>
      </w:tr>
      <w:tr>
        <w:trPr/>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Tooth</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Periodontal membrane</w:t>
            </w:r>
          </w:p>
        </w:tc>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18600</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68</w:t>
            </w:r>
          </w:p>
        </w:tc>
        <w:tc>
          <w:tcPr>
            <w:tcW w:w="2766"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0.45</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Cortical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Trabecular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w:t>
            </w:r>
          </w:p>
        </w:tc>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110300</w:t>
            </w:r>
          </w:p>
        </w:tc>
        <w:tc>
          <w:tcPr>
            <w:tcW w:w="2766"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tc>
      </w:tr>
    </w:tbl>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jc w:val="center"/>
        <w:rPr/>
      </w:pPr>
      <w:r>
        <w:rPr/>
        <w:drawing>
          <wp:inline distT="0" distB="0" distL="0" distR="0">
            <wp:extent cx="2626995" cy="2668905"/>
            <wp:effectExtent l="0" t="0" r="0" b="0"/>
            <wp:docPr id="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
                    <pic:cNvPicPr>
                      <a:picLocks noChangeAspect="1" noChangeArrowheads="1"/>
                    </pic:cNvPicPr>
                  </pic:nvPicPr>
                  <pic:blipFill>
                    <a:blip r:embed="rId5"/>
                    <a:stretch>
                      <a:fillRect/>
                    </a:stretch>
                  </pic:blipFill>
                  <pic:spPr bwMode="auto">
                    <a:xfrm>
                      <a:off x="0" y="0"/>
                      <a:ext cx="2626995" cy="2668905"/>
                    </a:xfrm>
                    <a:prstGeom prst="rect">
                      <a:avLst/>
                    </a:prstGeom>
                    <a:noFill/>
                  </pic:spPr>
                </pic:pic>
              </a:graphicData>
            </a:graphic>
          </wp:inline>
        </w:drawing>
      </w:r>
    </w:p>
    <w:p>
      <w:pPr>
        <w:pStyle w:val="Normal"/>
        <w:ind w:firstLine="420"/>
        <w:jc w:val="center"/>
        <w:rPr>
          <w:b/>
          <w:bCs/>
        </w:rPr>
      </w:pPr>
      <w:r>
        <w:rPr>
          <w:b/>
          <w:bCs/>
        </w:rPr>
        <w:t>Figure 3. Setting of Boundary Conditions</w:t>
      </w:r>
    </w:p>
    <w:p>
      <w:pPr>
        <w:pStyle w:val="Normal"/>
        <w:ind w:firstLine="420"/>
        <w:rPr>
          <w:b/>
          <w:bCs/>
        </w:rPr>
      </w:pPr>
      <w:r>
        <w:rPr>
          <w:b/>
          <w:bCs/>
        </w:rPr>
      </w:r>
    </w:p>
    <w:p>
      <w:pPr>
        <w:pStyle w:val="Normal"/>
        <w:rPr/>
      </w:pPr>
      <w:r>
        <w:rPr>
          <w:b/>
          <w:bCs/>
        </w:rPr>
        <w:t>Results</w:t>
      </w:r>
      <w:r>
        <w:rPr/>
        <w:t>:</w:t>
      </w:r>
    </w:p>
    <w:p>
      <w:pPr>
        <w:pStyle w:val="Normal"/>
        <w:ind w:firstLine="420"/>
        <w:rPr/>
      </w:pPr>
      <w:r>
        <w:rPr/>
      </w:r>
    </w:p>
    <w:p>
      <w:pPr>
        <w:pStyle w:val="Normal"/>
        <w:ind w:firstLine="420"/>
        <w:rPr/>
      </w:pPr>
      <w:r>
        <w:rPr/>
        <w:t>As the distance between the two microplates gradually increased, the relative displacement gradually decreased. At a distance of 20mm, the relative displacement was 0.105789mm, which could achieve the effect of the direct healing (Table 2).</w:t>
      </w:r>
    </w:p>
    <w:p>
      <w:pPr>
        <w:pStyle w:val="Normal"/>
        <w:ind w:firstLine="840"/>
        <w:rPr/>
      </w:pPr>
      <w:r>
        <w:rPr>
          <w:b/>
          <w:bCs/>
        </w:rPr>
        <w:t>Table 2. Relative Displacement at Different Microplate Spacings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  Spacing</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Relative Displacement</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Evaluation Criteria</w:t>
            </w:r>
          </w:p>
          <w:p>
            <w:pPr>
              <w:pStyle w:val="Normal"/>
              <w:suppressAutoHyphens w:val="true"/>
              <w:spacing w:before="0" w:after="0"/>
              <w:jc w:val="center"/>
              <w:rPr>
                <w:kern w:val="0"/>
                <w:sz w:val="20"/>
                <w:szCs w:val="20"/>
                <w14:ligatures w14:val="none"/>
              </w:rPr>
            </w:pP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r>
      <w:tr>
        <w:trPr/>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w:t>
            </w:r>
          </w:p>
        </w:tc>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0.46751</w:t>
            </w:r>
          </w:p>
        </w:tc>
        <w:tc>
          <w:tcPr>
            <w:tcW w:w="2766"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0.4395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0.430741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0.39318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0.388731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0.359678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0.347085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0.333203</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0.319047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0.303988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0.28828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0.271427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0.255314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0.231904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0.212232</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0.195081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0.177794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0.163164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0.147448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0.13127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0.117397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23</w:t>
            </w:r>
          </w:p>
        </w:tc>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0.105789</w:t>
            </w:r>
          </w:p>
        </w:tc>
        <w:tc>
          <w:tcPr>
            <w:tcW w:w="2766"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bl>
    <w:p>
      <w:pPr>
        <w:pStyle w:val="Normal"/>
        <w:rPr/>
      </w:pPr>
      <w:r>
        <w:rPr/>
      </w:r>
    </w:p>
    <w:p>
      <w:pPr>
        <w:pStyle w:val="Normal"/>
        <w:rPr/>
      </w:pPr>
      <w:r>
        <w:rPr>
          <w:b/>
          <w:bCs/>
        </w:rPr>
        <w:t>Discussion</w:t>
      </w:r>
      <w:r>
        <w:rPr/>
        <w:t>:</w:t>
      </w:r>
    </w:p>
    <w:p>
      <w:pPr>
        <w:pStyle w:val="Normal"/>
        <w:rPr/>
      </w:pPr>
      <w:r>
        <w:rPr/>
      </w:r>
    </w:p>
    <w:p>
      <w:pPr>
        <w:pStyle w:val="Normal"/>
        <w:ind w:firstLine="420"/>
        <w:rPr/>
      </w:pPr>
      <w:r>
        <w:rPr/>
        <w:t>Agarwal [14] 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 [15, 16]. Therefore, this study focused on the most common type I fracture line.</w:t>
      </w:r>
    </w:p>
    <w:p>
      <w:pPr>
        <w:pStyle w:val="Normal"/>
        <w:ind w:firstLine="420"/>
        <w:rPr/>
      </w:pPr>
      <w:r>
        <w:rPr>
          <w:b/>
          <w:bCs/>
        </w:rPr>
        <w:t>ORIF</w:t>
      </w:r>
      <w:r>
        <w:rPr/>
        <w:t xml:space="preserve"> is a commonly used treatment method for maxillofacial fractures. It offers advantages such as functional and anatomical reduction of fractures, early functional recovery, and ease of maintaining oral hygiene [14]. Therefore, ORIF is widely chosen in clinical practice.</w:t>
      </w:r>
    </w:p>
    <w:p>
      <w:pPr>
        <w:pStyle w:val="Normal"/>
        <w:ind w:firstLine="420"/>
        <w:rPr/>
      </w:pPr>
      <w:r>
        <w:rPr>
          <w:b/>
          <w:bCs/>
        </w:rPr>
        <w:t>Champy and Lodde[17] and  Champy[18]</w:t>
      </w:r>
      <w:r>
        <w:rPr/>
        <w:t xml:space="preserve"> 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 [14]. Therefore, this study employed double microplates for fracture fixation.</w:t>
      </w:r>
    </w:p>
    <w:p>
      <w:pPr>
        <w:pStyle w:val="Normal"/>
        <w:ind w:firstLine="420"/>
        <w:rPr/>
      </w:pPr>
      <w:r>
        <w:rPr/>
        <w:t>The bite force generated at different tooth positions during mastication varies. For example, the bite force in the anterior tooth region ranges from 100 to 370N, while the bite force in the posterior tooth region ranges from 50 to 400N [19].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 [13].</w:t>
      </w:r>
    </w:p>
    <w:p>
      <w:pPr>
        <w:pStyle w:val="Normal"/>
        <w:ind w:firstLine="420"/>
        <w:rPr/>
      </w:pPr>
      <w:r>
        <w:rP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 [17, 18]. When the upper microplate is located closer to the sigmoid notch, it significantly reduces displacement at this location, effectively stabilizing the bone fragment.</w:t>
      </w:r>
    </w:p>
    <w:p>
      <w:pPr>
        <w:pStyle w:val="Normal"/>
        <w:ind w:firstLine="420"/>
        <w:rPr/>
      </w:pPr>
      <w:r>
        <w:rPr/>
        <w:t>In the treatment of mandibular ramus fractures, various surgical approaches can be selected, such as the submandibular approach (Risdon approach), the posterior approach through the masseter muscle, and the posterior approach through the parotid gland [14]. Hinds [20] first described the posterior approach through the parotid gland in 1967, and subsequent reports have described various modified approaches, including the transmasseteric and transparotid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 [21]. Risdon [22] first described the Risdon approach, which was later modified by Meyer [23]. This approach features a more concealed incision and a lower risk of nerve injury. Prabhu [24] found that the incidence of nerve injury was only 16.6% in cases treated using the Risdon approach. Similarly, Mehra [25] chose the Risdon approach for the treatment of mandibular fractures, with a 23% incidence of nerve injury. Therefore, the Risdon approach has a lower incidence of postoperative complications. Mehra [26] compared the exposure range of the posterior approach and the Risdon approach and found a significant difference. The Risdon approach provides inadequate exposure to the sigmoid notch and the base of the condyle, making it difficult to achieve sufficient exposure.</w:t>
      </w:r>
    </w:p>
    <w:p>
      <w:pPr>
        <w:pStyle w:val="Normal"/>
        <w:ind w:firstLine="420"/>
        <w:rPr/>
      </w:pPr>
      <w:r>
        <w:rPr/>
        <w:t>In clinical practice, surgeons aim to minimize incisions for aesthetic purposes and to reduce the risk of postoperative complications. However, an excessively large distance between the two microplates may necessitate a change in the surgical approach. Within the scope of achieving optimal postoperative healing standards, reducing the distance between the microplates may allow for a change in the surgical approach, such as using the Risdon approach, to minimize incisions and reduce the risk of complications.</w:t>
      </w:r>
    </w:p>
    <w:p>
      <w:pPr>
        <w:pStyle w:val="Normal"/>
        <w:ind w:firstLine="420"/>
        <w:rPr/>
      </w:pPr>
      <w:r>
        <w:rPr/>
        <w:t xml:space="preserve">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mineralization, absorption, and remodeling, ultimately forming lamellar bone. Indirect healing is slow, typically requiring several months to a few years to complete [27]. Studies have shown that when the relative displacement between the fracture ends is within 0.15mm, direct healing can be achieved . </w:t>
      </w:r>
      <w:r>
        <w:rPr>
          <w:b/>
          <w:bCs/>
        </w:rPr>
        <w:t>In this experiment, the fracture gap was set to 1mm, and the relative displacement of the fracture during functional activities was measured[28]</w:t>
      </w:r>
      <w:r>
        <w:rPr/>
        <w:t>.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pPr>
        <w:pStyle w:val="Normal"/>
        <w:jc w:val="center"/>
        <w:rPr/>
      </w:pPr>
      <w:r>
        <w:rPr/>
        <w:drawing>
          <wp:inline distT="0" distB="0" distL="0" distR="0">
            <wp:extent cx="2465705" cy="2355215"/>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2465705" cy="2355215"/>
                    </a:xfrm>
                    <a:prstGeom prst="rect">
                      <a:avLst/>
                    </a:prstGeom>
                    <a:noFill/>
                  </pic:spPr>
                </pic:pic>
              </a:graphicData>
            </a:graphic>
          </wp:inline>
        </w:drawing>
      </w:r>
      <w:r>
        <w:rPr/>
        <w:drawing>
          <wp:inline distT="0" distB="0" distL="0" distR="0">
            <wp:extent cx="1955800" cy="2460625"/>
            <wp:effectExtent l="0" t="0" r="0" b="0"/>
            <wp:docPr id="6"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2" descr=""/>
                    <pic:cNvPicPr>
                      <a:picLocks noChangeAspect="1" noChangeArrowheads="1"/>
                    </pic:cNvPicPr>
                  </pic:nvPicPr>
                  <pic:blipFill>
                    <a:blip r:embed="rId7"/>
                    <a:stretch>
                      <a:fillRect/>
                    </a:stretch>
                  </pic:blipFill>
                  <pic:spPr bwMode="auto">
                    <a:xfrm>
                      <a:off x="0" y="0"/>
                      <a:ext cx="1955800" cy="2460625"/>
                    </a:xfrm>
                    <a:prstGeom prst="rect">
                      <a:avLst/>
                    </a:prstGeom>
                    <a:noFill/>
                  </pic:spPr>
                </pic:pic>
              </a:graphicData>
            </a:graphic>
          </wp:inline>
        </w:drawing>
      </w:r>
    </w:p>
    <w:p>
      <w:pPr>
        <w:pStyle w:val="Normal"/>
        <w:ind w:firstLine="1260"/>
        <w:rPr>
          <w:b/>
          <w:bCs/>
        </w:rPr>
      </w:pPr>
      <w:r>
        <w:rPr>
          <w:b/>
          <w:bCs/>
        </w:rPr>
        <w:t>Figure 4. Origin Setting       Figure 5. Relative Displacement Distance</w:t>
      </w:r>
    </w:p>
    <w:p>
      <w:pPr>
        <w:pStyle w:val="Normal"/>
        <w:ind w:firstLine="420"/>
        <w:rPr/>
      </w:pPr>
      <w:r>
        <w:rPr/>
        <w:t>The experimental results showed that when the distance between the two microplates was 20mm, the relative displacement between the two fracture ends was 0.105789mm, achieving the goal of direct healing. Clinically, this distance can be used to minimize surgical incisions, such as using the Risdon approach, to reduce the risk of complications.</w:t>
      </w:r>
    </w:p>
    <w:p>
      <w:pPr>
        <w:pStyle w:val="Normal"/>
        <w:ind w:firstLine="420"/>
        <w:rPr/>
      </w:pPr>
      <w:r>
        <w:rP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pPr>
        <w:pStyle w:val="Normal"/>
        <w:ind w:firstLine="420"/>
        <w:rPr/>
      </w:pPr>
      <w:r>
        <w:rPr/>
      </w:r>
    </w:p>
    <w:p>
      <w:pPr>
        <w:pStyle w:val="Normal"/>
        <w:ind w:firstLine="420"/>
        <w:rPr/>
      </w:pPr>
      <w:r>
        <w:rPr/>
      </w:r>
    </w:p>
    <w:p>
      <w:pPr>
        <w:pStyle w:val="Normal"/>
        <w:rPr/>
      </w:pPr>
      <w:r>
        <w:rPr>
          <w:b/>
          <w:bCs/>
        </w:rPr>
        <w:t>Conclusion</w:t>
      </w:r>
      <w:r>
        <w:rPr/>
        <w:t>:</w:t>
      </w:r>
    </w:p>
    <w:p>
      <w:pPr>
        <w:pStyle w:val="Normal"/>
        <w:ind w:firstLine="420"/>
        <w:rPr/>
      </w:pPr>
      <w:r>
        <w:rPr/>
      </w:r>
    </w:p>
    <w:p>
      <w:pPr>
        <w:pStyle w:val="Normal"/>
        <w:ind w:firstLine="420"/>
        <w:rPr/>
      </w:pPr>
      <w:r>
        <w:rP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pPr>
        <w:pStyle w:val="Normal"/>
        <w:rPr/>
      </w:pPr>
      <w:r>
        <w:rPr/>
      </w:r>
    </w:p>
    <w:p>
      <w:pPr>
        <w:pStyle w:val="Normal"/>
        <w:rPr>
          <w:b/>
          <w:bCs/>
        </w:rPr>
      </w:pPr>
      <w:r>
        <w:rPr>
          <w:b/>
          <w:bCs/>
        </w:rPr>
        <w:t>References:</w:t>
      </w:r>
    </w:p>
    <w:p>
      <w:pPr>
        <w:pStyle w:val="Normal"/>
        <w:rPr>
          <w:b/>
          <w:bCs/>
        </w:rPr>
      </w:pPr>
      <w:r>
        <w:rPr>
          <w:b/>
          <w:bCs/>
        </w:rPr>
      </w:r>
    </w:p>
    <w:p>
      <w:pPr>
        <w:pStyle w:val="EndNoteBibliography1"/>
        <w:ind w:hanging="720" w:left="720"/>
        <w:rPr/>
      </w:pPr>
      <w:r>
        <w:rPr/>
        <w:t>1.</w:t>
        <w:tab/>
        <w:t xml:space="preserve">Pickrell, B. B.; Serebrakian, A. T.; Maricevich, R. S., Mandible Fractures. </w:t>
      </w:r>
      <w:r>
        <w:rPr>
          <w:i/>
        </w:rPr>
        <w:t xml:space="preserve">Semin Plast Surg </w:t>
      </w:r>
      <w:r>
        <w:rPr>
          <w:b/>
        </w:rPr>
        <w:t>2017,</w:t>
      </w:r>
      <w:r>
        <w:rPr/>
        <w:t xml:space="preserve"> 31, (2), 100-107.</w:t>
      </w:r>
    </w:p>
    <w:p>
      <w:pPr>
        <w:pStyle w:val="EndNoteBibliography1"/>
        <w:ind w:hanging="720" w:left="720"/>
        <w:rPr/>
      </w:pPr>
      <w:r>
        <w:rPr/>
        <w:t>2.</w:t>
        <w:tab/>
        <w:t xml:space="preserve">Boole, J. R.; Holtel, M.; Amoroso, P.; Yore, M., 5196 mandible fractures among 4381 active duty army soldiers, 1980 to 1998. </w:t>
      </w:r>
      <w:r>
        <w:rPr>
          <w:i/>
        </w:rPr>
        <w:t xml:space="preserve">Laryngoscope </w:t>
      </w:r>
      <w:r>
        <w:rPr>
          <w:b/>
        </w:rPr>
        <w:t>2001,</w:t>
      </w:r>
      <w:r>
        <w:rPr/>
        <w:t xml:space="preserve"> 111, (10), 1691-6.</w:t>
      </w:r>
    </w:p>
    <w:p>
      <w:pPr>
        <w:pStyle w:val="EndNoteBibliography1"/>
        <w:ind w:hanging="720" w:left="720"/>
        <w:rPr/>
      </w:pPr>
      <w:r>
        <w:rPr/>
        <w:t>3.</w:t>
        <w:tab/>
        <w:t xml:space="preserve">Olson, R. A.; Fonseca, R. J.; Zeitler, D. L.; Osbon, D. B., Fractures of the mandible: a review of 580 cases. </w:t>
      </w:r>
      <w:r>
        <w:rPr>
          <w:i/>
        </w:rPr>
        <w:t xml:space="preserve">J Oral Maxillofac Surg </w:t>
      </w:r>
      <w:r>
        <w:rPr>
          <w:b/>
        </w:rPr>
        <w:t>1982,</w:t>
      </w:r>
      <w:r>
        <w:rPr/>
        <w:t xml:space="preserve"> 40, (1), 23-8.</w:t>
      </w:r>
    </w:p>
    <w:p>
      <w:pPr>
        <w:pStyle w:val="EndNoteBibliography1"/>
        <w:ind w:hanging="720" w:left="720"/>
        <w:rPr/>
      </w:pPr>
      <w:r>
        <w:rPr/>
        <w:t>4.</w:t>
        <w:tab/>
        <w:t xml:space="preserve">Subhashraj, K.; Nandakumar, N.; Ravindran, C., Review of maxillofacial injuries in Chennai, India: a study of 2748 cases. </w:t>
      </w:r>
      <w:r>
        <w:rPr>
          <w:i/>
        </w:rPr>
        <w:t xml:space="preserve">Br J Oral Maxillofac Surg </w:t>
      </w:r>
      <w:r>
        <w:rPr>
          <w:b/>
        </w:rPr>
        <w:t>2007,</w:t>
      </w:r>
      <w:r>
        <w:rPr/>
        <w:t xml:space="preserve"> 45, (8), 637-9.</w:t>
      </w:r>
    </w:p>
    <w:p>
      <w:pPr>
        <w:pStyle w:val="EndNoteBibliography1"/>
        <w:ind w:hanging="720" w:left="720"/>
        <w:rPr/>
      </w:pPr>
      <w:r>
        <w:rPr/>
        <w:t>5.</w:t>
        <w:tab/>
        <w:t xml:space="preserve">Barde, D. H.; Mudhol, A.; Ali, F. M.; Madan, R. S.; Kar, S.; Ustaad, F., Efficacy of 3-Dimensional plates over Champys miniplates in mandibular anterior fractures. </w:t>
      </w:r>
      <w:r>
        <w:rPr>
          <w:i/>
        </w:rPr>
        <w:t xml:space="preserve">J Int Oral Health </w:t>
      </w:r>
      <w:r>
        <w:rPr>
          <w:b/>
        </w:rPr>
        <w:t>2014,</w:t>
      </w:r>
      <w:r>
        <w:rPr/>
        <w:t xml:space="preserve"> 6, (1), 20-6.</w:t>
      </w:r>
    </w:p>
    <w:p>
      <w:pPr>
        <w:pStyle w:val="EndNoteBibliography1"/>
        <w:ind w:hanging="720" w:left="720"/>
        <w:rPr/>
      </w:pPr>
      <w:r>
        <w:rPr/>
        <w:t>6.</w:t>
        <w:tab/>
        <w:t xml:space="preserve">Welch-Phillips, A.; Gibbons, D.; Ahern, D. P.; Butler, J. S., What Is Finite Element Analysis? </w:t>
      </w:r>
      <w:r>
        <w:rPr>
          <w:i/>
        </w:rPr>
        <w:t xml:space="preserve">Clin Spine Surg </w:t>
      </w:r>
      <w:r>
        <w:rPr>
          <w:b/>
        </w:rPr>
        <w:t>2020,</w:t>
      </w:r>
      <w:r>
        <w:rPr/>
        <w:t xml:space="preserve"> 33, (8), 323-324.</w:t>
      </w:r>
    </w:p>
    <w:p>
      <w:pPr>
        <w:pStyle w:val="EndNoteBibliography1"/>
        <w:ind w:hanging="720" w:left="720"/>
        <w:rPr/>
      </w:pPr>
      <w:r>
        <w:rPr/>
        <w:t>7.</w:t>
        <w:tab/>
        <w:t xml:space="preserve">Friedenberg, R., "Direct analysis" or "finite element analysis" in biology: a new computer approach. </w:t>
      </w:r>
      <w:r>
        <w:rPr>
          <w:i/>
        </w:rPr>
        <w:t xml:space="preserve">Curr Mod Biol </w:t>
      </w:r>
      <w:r>
        <w:rPr>
          <w:b/>
        </w:rPr>
        <w:t>1969,</w:t>
      </w:r>
      <w:r>
        <w:rPr/>
        <w:t xml:space="preserve"> 3, (2), 89-94.</w:t>
      </w:r>
    </w:p>
    <w:p>
      <w:pPr>
        <w:pStyle w:val="EndNoteBibliography1"/>
        <w:ind w:hanging="720" w:left="720"/>
        <w:rPr/>
      </w:pPr>
      <w:r>
        <w:rPr/>
        <w:t>8.</w:t>
        <w:tab/>
        <w:t xml:space="preserve">Thresher, R. W.; Saito, G. E., The stress analysis of human teeth. </w:t>
      </w:r>
      <w:r>
        <w:rPr>
          <w:i/>
        </w:rPr>
        <w:t xml:space="preserve">J Biomech </w:t>
      </w:r>
      <w:r>
        <w:rPr>
          <w:b/>
        </w:rPr>
        <w:t>1973,</w:t>
      </w:r>
      <w:r>
        <w:rPr/>
        <w:t xml:space="preserve"> 6, (5), 443-9.</w:t>
      </w:r>
    </w:p>
    <w:p>
      <w:pPr>
        <w:pStyle w:val="EndNoteBibliography1"/>
        <w:ind w:hanging="720" w:left="720"/>
        <w:rPr/>
      </w:pPr>
      <w:r>
        <w:rPr/>
        <w:t>9.</w:t>
        <w:tab/>
        <w:t xml:space="preserve">Sancar, B.; Çetiner, Y.; Dayı, E., Evaluation of the pattern of fracture formation from trauma to the human mandible with finite element analysis. Part 2: The corpus and the angle regions. </w:t>
      </w:r>
      <w:r>
        <w:rPr>
          <w:i/>
        </w:rPr>
        <w:t xml:space="preserve">Dent Traumatol </w:t>
      </w:r>
      <w:r>
        <w:rPr>
          <w:b/>
        </w:rPr>
        <w:t>2023,</w:t>
      </w:r>
      <w:r>
        <w:rPr/>
        <w:t xml:space="preserve"> 39, (5), 437-447.</w:t>
      </w:r>
    </w:p>
    <w:p>
      <w:pPr>
        <w:pStyle w:val="EndNoteBibliography1"/>
        <w:ind w:hanging="720" w:left="720"/>
        <w:rPr/>
      </w:pPr>
      <w:r>
        <w:rPr/>
        <w:t>10.</w:t>
        <w:tab/>
        <w:t xml:space="preserve">Li, Y.; Li, H.; Lai, Q.; Xue, R.; Zhu, K.; Deng, Y., Finite element analysis of 3D-printed personalized titanium plates for mandibular angle fracture. </w:t>
      </w:r>
      <w:r>
        <w:rPr>
          <w:i/>
        </w:rPr>
        <w:t xml:space="preserve">Comput Methods Biomech Biomed Engin </w:t>
      </w:r>
      <w:r>
        <w:rPr>
          <w:b/>
        </w:rPr>
        <w:t>2023,</w:t>
      </w:r>
      <w:r>
        <w:rPr/>
        <w:t xml:space="preserve"> 26, (1), 78-89.</w:t>
      </w:r>
    </w:p>
    <w:p>
      <w:pPr>
        <w:pStyle w:val="EndNoteBibliography1"/>
        <w:ind w:hanging="720" w:left="720"/>
        <w:rPr/>
      </w:pPr>
      <w:r>
        <w:rPr/>
        <w:t>11.</w:t>
        <w:tab/>
        <w:t xml:space="preserve">Coyac, B. R.; Salvi, G.; Leahy, B.; Li, Z.; Salmon, B.; Hoffmann, W.; Helms, J. A., A novel system exploits bone debris for implant osseointegration. </w:t>
      </w:r>
      <w:r>
        <w:rPr>
          <w:i/>
        </w:rPr>
        <w:t xml:space="preserve">J Periodontol </w:t>
      </w:r>
      <w:r>
        <w:rPr>
          <w:b/>
        </w:rPr>
        <w:t>2021,</w:t>
      </w:r>
      <w:r>
        <w:rPr/>
        <w:t xml:space="preserve"> 92, (5), 716-726.</w:t>
      </w:r>
    </w:p>
    <w:p>
      <w:pPr>
        <w:pStyle w:val="EndNoteBibliography1"/>
        <w:ind w:hanging="720" w:left="720"/>
        <w:rPr/>
      </w:pPr>
      <w:r>
        <w:rPr/>
        <w:t>12.</w:t>
        <w:tab/>
        <w:t xml:space="preserve">Solberg, K.; Heinemann, F.; Pellikaan, P.; Keilig, L.; Stark, H.; Bourauel, C.; Hasan, I., Finite element analysis of different loading conditions for implant-supported overdentures supported by conventional or mini implants. </w:t>
      </w:r>
      <w:r>
        <w:rPr>
          <w:i/>
        </w:rPr>
        <w:t xml:space="preserve">Comput Methods Biomech Biomed Engin </w:t>
      </w:r>
      <w:r>
        <w:rPr>
          <w:b/>
        </w:rPr>
        <w:t>2017,</w:t>
      </w:r>
      <w:r>
        <w:rPr/>
        <w:t xml:space="preserve"> 20, (7), 770-782.</w:t>
      </w:r>
    </w:p>
    <w:p>
      <w:pPr>
        <w:pStyle w:val="EndNoteBibliography1"/>
        <w:ind w:hanging="720" w:left="720"/>
        <w:rPr/>
      </w:pPr>
      <w:r>
        <w:rPr/>
        <w:t>13.</w:t>
        <w:tab/>
        <w:t xml:space="preserve">Hagberg, C., Electromyography and bite force studies of muscular function and dysfunction in masticatory muscles. </w:t>
      </w:r>
      <w:r>
        <w:rPr>
          <w:i/>
        </w:rPr>
        <w:t xml:space="preserve">Swed Dent J Suppl </w:t>
      </w:r>
      <w:r>
        <w:rPr>
          <w:b/>
        </w:rPr>
        <w:t>1986,</w:t>
      </w:r>
      <w:r>
        <w:rPr/>
        <w:t xml:space="preserve"> 37, 1-64.</w:t>
      </w:r>
    </w:p>
    <w:p>
      <w:pPr>
        <w:pStyle w:val="EndNoteBibliography1"/>
        <w:ind w:hanging="720" w:left="720"/>
        <w:rPr/>
      </w:pPr>
      <w:r>
        <w:rPr/>
        <w:t>14.</w:t>
        <w:tab/>
        <w:t xml:space="preserve">Agarwal, P.; Mehrotra, D., Mandibultar Ramus Fractures: A Proposed Classification. </w:t>
      </w:r>
      <w:r>
        <w:rPr>
          <w:i/>
        </w:rPr>
        <w:t xml:space="preserve">Craniomaxillofac Trauma Reconstr </w:t>
      </w:r>
      <w:r>
        <w:rPr>
          <w:b/>
        </w:rPr>
        <w:t>2020,</w:t>
      </w:r>
      <w:r>
        <w:rPr/>
        <w:t xml:space="preserve"> 13, (1), 9-14.</w:t>
      </w:r>
    </w:p>
    <w:p>
      <w:pPr>
        <w:pStyle w:val="EndNoteBibliography1"/>
        <w:ind w:hanging="720" w:left="720"/>
        <w:rPr/>
      </w:pPr>
      <w:r>
        <w:rPr/>
        <w:t>15.</w:t>
        <w:tab/>
        <w:t xml:space="preserve">Jadhav, A.; Mundada, B.; Deshmukh, R.; Bhutekar, U.; Kala, A.; Waghwani, K.; Mishra, A., Mandibular Ramus Fracture: An Overview of Rare Anatomical Subsite. </w:t>
      </w:r>
      <w:r>
        <w:rPr>
          <w:i/>
        </w:rPr>
        <w:t xml:space="preserve">Plast Surg Int </w:t>
      </w:r>
      <w:r>
        <w:rPr>
          <w:b/>
        </w:rPr>
        <w:t>2015,</w:t>
      </w:r>
      <w:r>
        <w:rPr/>
        <w:t xml:space="preserve"> 2015, 954314.</w:t>
      </w:r>
    </w:p>
    <w:p>
      <w:pPr>
        <w:pStyle w:val="EndNoteBibliography1"/>
        <w:ind w:hanging="720" w:left="720"/>
        <w:rPr/>
      </w:pPr>
      <w:r>
        <w:rPr/>
        <w:t>16.</w:t>
        <w:tab/>
        <w:t xml:space="preserve">Kale, T. P.; Kotrashetti, S. M.; Louis, A.; Lingaraj, J. B.; Sarvesh, B. U., Mandibular ramus fractures: a rarity. </w:t>
      </w:r>
      <w:r>
        <w:rPr>
          <w:i/>
        </w:rPr>
        <w:t xml:space="preserve">J Contemp Dent Pract </w:t>
      </w:r>
      <w:r>
        <w:rPr>
          <w:b/>
        </w:rPr>
        <w:t>2013,</w:t>
      </w:r>
      <w:r>
        <w:rPr/>
        <w:t xml:space="preserve"> 14, (1), 39-42.</w:t>
      </w:r>
    </w:p>
    <w:p>
      <w:pPr>
        <w:pStyle w:val="EndNoteBibliography1"/>
        <w:ind w:hanging="720" w:left="720"/>
        <w:rPr/>
      </w:pPr>
      <w:r>
        <w:rPr/>
        <w:t>17.</w:t>
        <w:tab/>
        <w:t xml:space="preserve">Champy, M.; Lodde, J. P., [Mandibular synthesis. Placement of the synthesis as a function of mandibular stress]. </w:t>
      </w:r>
      <w:r>
        <w:rPr>
          <w:i/>
        </w:rPr>
        <w:t xml:space="preserve">Rev Stomatol Chir Maxillofac </w:t>
      </w:r>
      <w:r>
        <w:rPr>
          <w:b/>
        </w:rPr>
        <w:t>1976,</w:t>
      </w:r>
      <w:r>
        <w:rPr/>
        <w:t xml:space="preserve"> 77, (8), 971-6.</w:t>
      </w:r>
    </w:p>
    <w:p>
      <w:pPr>
        <w:pStyle w:val="EndNoteBibliography1"/>
        <w:ind w:hanging="720" w:left="720"/>
        <w:rPr/>
      </w:pPr>
      <w:r>
        <w:rPr/>
        <w:t>18.</w:t>
        <w:tab/>
        <w:t xml:space="preserve">Champy, M.; Wilk, A.; Schnebelen, J. M., [Tretment of mandibular fractures by means of osteosynthesis without intermaxillary immobilization according to F.X. Michelet's technic]. </w:t>
      </w:r>
      <w:r>
        <w:rPr>
          <w:i/>
        </w:rPr>
        <w:t xml:space="preserve">Zahn Mund Kieferheilkd Zentralbl </w:t>
      </w:r>
      <w:r>
        <w:rPr>
          <w:b/>
        </w:rPr>
        <w:t>1975,</w:t>
      </w:r>
      <w:r>
        <w:rPr/>
        <w:t xml:space="preserve"> 63, (4), 339-41.</w:t>
      </w:r>
    </w:p>
    <w:p>
      <w:pPr>
        <w:pStyle w:val="EndNoteBibliography1"/>
        <w:ind w:hanging="720" w:left="720"/>
        <w:rPr/>
      </w:pPr>
      <w:r>
        <w:rPr/>
        <w:t>19.</w:t>
        <w:tab/>
        <w:t xml:space="preserve">Paphangkorakit, J.; Osborn, J. W., The effect of pressure on a maximum incisal bite force in man. </w:t>
      </w:r>
      <w:r>
        <w:rPr>
          <w:i/>
        </w:rPr>
        <w:t xml:space="preserve">Arch Oral Biol </w:t>
      </w:r>
      <w:r>
        <w:rPr>
          <w:b/>
        </w:rPr>
        <w:t>1997,</w:t>
      </w:r>
      <w:r>
        <w:rPr/>
        <w:t xml:space="preserve"> 42, (1), 11-7.</w:t>
      </w:r>
    </w:p>
    <w:p>
      <w:pPr>
        <w:pStyle w:val="EndNoteBibliography1"/>
        <w:ind w:hanging="720" w:left="720"/>
        <w:rPr/>
      </w:pPr>
      <w:r>
        <w:rPr/>
        <w:t>20.</w:t>
        <w:tab/>
        <w:t xml:space="preserve">Hinds, E. C.; Girotti, W. J., Vertical subcondylar osteotomy: a reappraisal. </w:t>
      </w:r>
      <w:r>
        <w:rPr>
          <w:i/>
        </w:rPr>
        <w:t xml:space="preserve">Oral Surg Oral Med Oral Pathol </w:t>
      </w:r>
      <w:r>
        <w:rPr>
          <w:b/>
        </w:rPr>
        <w:t>1967,</w:t>
      </w:r>
      <w:r>
        <w:rPr/>
        <w:t xml:space="preserve"> 24, (2), 164-70.</w:t>
      </w:r>
    </w:p>
    <w:p>
      <w:pPr>
        <w:pStyle w:val="EndNoteBibliography1"/>
        <w:ind w:hanging="720" w:left="720"/>
        <w:rPr/>
      </w:pPr>
      <w:r>
        <w:rPr/>
        <w:t>21.</w:t>
        <w:tab/>
        <w:t xml:space="preserve">Manisali, M.; Amin, M.; Aghabeigi, B.; Newman, L., Retromandibular approach to the mandibular condyle: a clinical and cadaveric study. </w:t>
      </w:r>
      <w:r>
        <w:rPr>
          <w:i/>
        </w:rPr>
        <w:t xml:space="preserve">Int J Oral Maxillofac Surg </w:t>
      </w:r>
      <w:r>
        <w:rPr>
          <w:b/>
        </w:rPr>
        <w:t>2003,</w:t>
      </w:r>
      <w:r>
        <w:rPr/>
        <w:t xml:space="preserve"> 32, (3), 253-6.</w:t>
      </w:r>
    </w:p>
    <w:p>
      <w:pPr>
        <w:pStyle w:val="EndNoteBibliography1"/>
        <w:ind w:hanging="720" w:left="720"/>
        <w:rPr/>
      </w:pPr>
      <w:r>
        <w:rPr/>
        <w:t>22.</w:t>
        <w:tab/>
        <w:t xml:space="preserve">Risdon, F., The Treatment of Fractures of the Jaws. </w:t>
      </w:r>
      <w:r>
        <w:rPr>
          <w:i/>
        </w:rPr>
        <w:t xml:space="preserve">Can Med Assoc J </w:t>
      </w:r>
      <w:r>
        <w:rPr>
          <w:b/>
        </w:rPr>
        <w:t>1929,</w:t>
      </w:r>
      <w:r>
        <w:rPr/>
        <w:t xml:space="preserve"> 20, (3), 260-2.</w:t>
      </w:r>
    </w:p>
    <w:p>
      <w:pPr>
        <w:pStyle w:val="EndNoteBibliography1"/>
        <w:ind w:hanging="720" w:left="720"/>
        <w:rPr/>
      </w:pPr>
      <w:r>
        <w:rPr/>
        <w:t>23.</w:t>
        <w:tab/>
        <w:t xml:space="preserve">Meyer, C.; Zink, S.; Wilk, A., [Modified Risdon approach for the treatment of subcondylar fractures of the mandible]. </w:t>
      </w:r>
      <w:r>
        <w:rPr>
          <w:i/>
        </w:rPr>
        <w:t xml:space="preserve">Rev Stomatol Chir Maxillofac </w:t>
      </w:r>
      <w:r>
        <w:rPr>
          <w:b/>
        </w:rPr>
        <w:t>2006,</w:t>
      </w:r>
      <w:r>
        <w:rPr/>
        <w:t xml:space="preserve"> 107, (6), 449-54.</w:t>
      </w:r>
    </w:p>
    <w:p>
      <w:pPr>
        <w:pStyle w:val="EndNoteBibliography1"/>
        <w:ind w:hanging="720" w:left="720"/>
        <w:rPr/>
      </w:pPr>
      <w:r>
        <w:rPr/>
        <w:t>24.</w:t>
        <w:tab/>
        <w:t xml:space="preserve">Prabhu, R. K.; Sinha, R.; Chowdhury, S. K.; Chattopadhyay, P. K., Evaluation of facial nerve function following surgical approaches for maxillofacial trauma. </w:t>
      </w:r>
      <w:r>
        <w:rPr>
          <w:i/>
        </w:rPr>
        <w:t xml:space="preserve">Ann Maxillofac Surg </w:t>
      </w:r>
      <w:r>
        <w:rPr>
          <w:b/>
        </w:rPr>
        <w:t>2012,</w:t>
      </w:r>
      <w:r>
        <w:rPr/>
        <w:t xml:space="preserve"> 2, (1), 36-40.</w:t>
      </w:r>
    </w:p>
    <w:p>
      <w:pPr>
        <w:pStyle w:val="EndNoteBibliography1"/>
        <w:ind w:hanging="720" w:left="720"/>
        <w:rPr/>
      </w:pPr>
      <w:r>
        <w:rPr/>
        <w:t>25.</w:t>
        <w:tab/>
        <w:t xml:space="preserve">Mehra, P.; Murad, H., Internal fixation of mandibular angle fractures: a comparison of 2 techniques. </w:t>
      </w:r>
      <w:r>
        <w:rPr>
          <w:i/>
        </w:rPr>
        <w:t xml:space="preserve">J Oral Maxillofac Surg </w:t>
      </w:r>
      <w:r>
        <w:rPr>
          <w:b/>
        </w:rPr>
        <w:t>2008,</w:t>
      </w:r>
      <w:r>
        <w:rPr/>
        <w:t xml:space="preserve"> 66, (11), 2254-60.</w:t>
      </w:r>
    </w:p>
    <w:p>
      <w:pPr>
        <w:pStyle w:val="EndNoteBibliography1"/>
        <w:ind w:hanging="720" w:left="720"/>
        <w:rPr/>
      </w:pPr>
      <w:r>
        <w:rPr/>
        <w:t>26.</w:t>
        <w:tab/>
        <w:t xml:space="preserve">Ruiz, R.; Schlund, M.; Raoul, G.; Kyheng, M.; Fontaine, C.; Nicot, R., Mandibular subcondylar fracture accessibility with transparotid approach by rhytidectomy and modified Risdon approach: An anatomical comparative study. </w:t>
      </w:r>
      <w:r>
        <w:rPr>
          <w:i/>
        </w:rPr>
        <w:t xml:space="preserve">J Craniomaxillofac Surg </w:t>
      </w:r>
      <w:r>
        <w:rPr>
          <w:b/>
        </w:rPr>
        <w:t>2018,</w:t>
      </w:r>
      <w:r>
        <w:rPr/>
        <w:t xml:space="preserve"> 46, (12), 2256-2260.</w:t>
      </w:r>
    </w:p>
    <w:p>
      <w:pPr>
        <w:pStyle w:val="EndNoteBibliography1"/>
        <w:ind w:hanging="720" w:left="720"/>
        <w:rPr/>
      </w:pPr>
      <w:r>
        <w:rPr/>
        <w:t>27.</w:t>
        <w:tab/>
        <w:t xml:space="preserve">Marsell, R.; Einhorn, T. A., The biology of fracture healing. </w:t>
      </w:r>
      <w:r>
        <w:rPr>
          <w:i/>
        </w:rPr>
        <w:t xml:space="preserve">Injury </w:t>
      </w:r>
      <w:r>
        <w:rPr>
          <w:b/>
        </w:rPr>
        <w:t>2011,</w:t>
      </w:r>
      <w:r>
        <w:rPr/>
        <w:t xml:space="preserve"> 42, (6), 551-5.</w:t>
      </w:r>
    </w:p>
    <w:p>
      <w:pPr>
        <w:pStyle w:val="EndNoteBibliography1"/>
        <w:ind w:hanging="720" w:left="720"/>
        <w:rPr/>
      </w:pPr>
      <w:r>
        <w:rPr/>
        <w:t>28.</w:t>
        <w:tab/>
        <w:t xml:space="preserve">Claes, L.; Augat, P.; Suger, G.; Wilke, H. J., Influence of size and stability of the osteotomy gap on the success of fracture healing. </w:t>
      </w:r>
      <w:r>
        <w:rPr>
          <w:i/>
        </w:rPr>
        <w:t xml:space="preserve">J Orthop Res </w:t>
      </w:r>
      <w:r>
        <w:rPr>
          <w:b/>
        </w:rPr>
        <w:t>1997,</w:t>
      </w:r>
      <w:r>
        <w:rPr/>
        <w:t xml:space="preserve"> 15, (4), 577-84.</w:t>
      </w:r>
    </w:p>
    <w:p>
      <w:pPr>
        <w:pStyle w:val="Normal"/>
        <w:rPr/>
      </w:pPr>
      <w:r>
        <w:rPr/>
      </w:r>
    </w:p>
    <w:p>
      <w:pPr>
        <w:pStyle w:val="Normal"/>
        <w:rPr>
          <w:b/>
          <w:bCs/>
        </w:rPr>
      </w:pPr>
      <w:r>
        <w:rPr>
          <w:b/>
          <w:bCs/>
        </w:rPr>
        <w:t>Declarations:</w:t>
      </w:r>
    </w:p>
    <w:p>
      <w:pPr>
        <w:pStyle w:val="Normal"/>
        <w:rPr>
          <w:b/>
          <w:bCs/>
        </w:rPr>
      </w:pPr>
      <w:r>
        <w:rPr>
          <w:b/>
          <w:bCs/>
        </w:rPr>
      </w:r>
    </w:p>
    <w:p>
      <w:pPr>
        <w:pStyle w:val="Normal"/>
        <w:rPr/>
      </w:pPr>
      <w:r>
        <w:rPr/>
        <w:t>Ethics approval and consent to participate:</w:t>
      </w:r>
    </w:p>
    <w:p>
      <w:pPr>
        <w:pStyle w:val="Normal"/>
        <w:rPr/>
      </w:pPr>
      <w:r>
        <w:rPr/>
        <w:t>This study has been approved by the Ethics Committee of the Affiliated Hospital of Yanbian University(YYLL2024210), and the consent of the volunteers has been obtained with the signed informed consent forms.</w:t>
      </w:r>
    </w:p>
    <w:p>
      <w:pPr>
        <w:pStyle w:val="Normal"/>
        <w:rPr/>
      </w:pPr>
      <w:r>
        <w:rPr/>
      </w:r>
    </w:p>
    <w:p>
      <w:pPr>
        <w:pStyle w:val="Normal"/>
        <w:rPr/>
      </w:pPr>
      <w:r>
        <w:rPr/>
        <w:t>Consent for publication:</w:t>
      </w:r>
    </w:p>
    <w:p>
      <w:pPr>
        <w:pStyle w:val="Normal"/>
        <w:rPr/>
      </w:pPr>
      <w:r>
        <w:rPr/>
        <w:t>Not applicable.</w:t>
      </w:r>
    </w:p>
    <w:p>
      <w:pPr>
        <w:pStyle w:val="Normal"/>
        <w:rPr/>
      </w:pPr>
      <w:r>
        <w:rPr/>
      </w:r>
    </w:p>
    <w:p>
      <w:pPr>
        <w:pStyle w:val="Normal"/>
        <w:rPr/>
      </w:pPr>
      <w:r>
        <w:rPr/>
        <w:t>Availability of data and materials:</w:t>
      </w:r>
    </w:p>
    <w:p>
      <w:pPr>
        <w:pStyle w:val="Normal"/>
        <w:rPr/>
      </w:pPr>
      <w:r>
        <w:rPr/>
        <w:t>All data generated or analysed during this study are included in this published article.</w:t>
      </w:r>
    </w:p>
    <w:p>
      <w:pPr>
        <w:pStyle w:val="Normal"/>
        <w:rPr/>
      </w:pPr>
      <w:r>
        <w:rPr/>
      </w:r>
    </w:p>
    <w:p>
      <w:pPr>
        <w:pStyle w:val="Normal"/>
        <w:rPr/>
      </w:pPr>
      <w:r>
        <w:rPr/>
        <w:t>Competing interests:</w:t>
      </w:r>
    </w:p>
    <w:p>
      <w:pPr>
        <w:pStyle w:val="Normal"/>
        <w:rPr/>
      </w:pPr>
      <w:r>
        <w:rPr/>
        <w:t>The authors declare that they have no competing interests.</w:t>
      </w:r>
    </w:p>
    <w:p>
      <w:pPr>
        <w:pStyle w:val="Normal"/>
        <w:rPr/>
      </w:pPr>
      <w:r>
        <w:rPr/>
      </w:r>
    </w:p>
    <w:p>
      <w:pPr>
        <w:pStyle w:val="Normal"/>
        <w:rPr/>
      </w:pPr>
      <w:r>
        <w:rPr/>
        <w:t>Funding:</w:t>
      </w:r>
    </w:p>
    <w:p>
      <w:pPr>
        <w:pStyle w:val="Normal"/>
        <w:rPr/>
      </w:pPr>
      <w:r>
        <w:rPr/>
        <w:t>Not applicable.</w:t>
      </w:r>
    </w:p>
    <w:p>
      <w:pPr>
        <w:pStyle w:val="Normal"/>
        <w:rPr/>
      </w:pPr>
      <w:r>
        <w:rPr/>
      </w:r>
    </w:p>
    <w:p>
      <w:pPr>
        <w:pStyle w:val="Normal"/>
        <w:rPr/>
      </w:pPr>
      <w:r>
        <w:rPr/>
        <w:t>Authors' contributions:</w:t>
      </w:r>
    </w:p>
    <w:p>
      <w:pPr>
        <w:pStyle w:val="Normal"/>
        <w:jc w:val="left"/>
        <w:rPr/>
      </w:pPr>
      <w:r>
        <w:rPr/>
      </w:r>
    </w:p>
    <w:p>
      <w:pPr>
        <w:pStyle w:val="Normal"/>
        <w:rPr/>
      </w:pPr>
      <w:r>
        <w:rPr/>
        <w:t>Tang Ruize: Thesis design, model establishment, simulation experiments, and thesis writing</w:t>
      </w:r>
    </w:p>
    <w:p>
      <w:pPr>
        <w:pStyle w:val="Normal"/>
        <w:rPr/>
      </w:pPr>
      <w:r>
        <w:rPr/>
        <w:t xml:space="preserve">Cui Qing: Data analysis, literature collection </w:t>
      </w:r>
    </w:p>
    <w:p>
      <w:pPr>
        <w:pStyle w:val="Normal"/>
        <w:rPr/>
      </w:pPr>
      <w:r>
        <w:rPr/>
        <w:t xml:space="preserve">Ren Shuo: Literature collection </w:t>
      </w:r>
    </w:p>
    <w:p>
      <w:pPr>
        <w:pStyle w:val="Normal"/>
        <w:rPr/>
      </w:pPr>
      <w:r>
        <w:rPr/>
        <w:t xml:space="preserve">UNURJARGL KHADBAATAR: Literature collection </w:t>
      </w:r>
    </w:p>
    <w:p>
      <w:pPr>
        <w:pStyle w:val="Normal"/>
        <w:rPr/>
      </w:pPr>
      <w:r>
        <w:rPr/>
        <w:t>Li Jingxu: Guidance on thesis design, supervision of experiments, and article revision</w:t>
      </w:r>
    </w:p>
    <w:p>
      <w:pPr>
        <w:pStyle w:val="Normal"/>
        <w:rPr/>
      </w:pPr>
      <w:r>
        <w:rPr/>
      </w:r>
    </w:p>
    <w:p>
      <w:pPr>
        <w:pStyle w:val="Normal"/>
        <w:rPr/>
      </w:pPr>
      <w:r>
        <w:rPr/>
        <w:t>1. Patterns Associated with Adult Mandibular Fractures in Southern Taiwan-A Cross-Sectional Retrospective Study</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color w:val="auto"/>
      <w:kern w:val="2"/>
      <w:sz w:val="21"/>
      <w:szCs w:val="22"/>
      <w:lang w:val="en-US" w:eastAsia="zh-CN" w:bidi="ar-SA"/>
      <w14:ligatures w14:val="standardContextual"/>
    </w:rPr>
  </w:style>
  <w:style w:type="character" w:styleId="DefaultParagraphFont" w:default="1">
    <w:name w:val="Default Paragraph Font"/>
    <w:uiPriority w:val="1"/>
    <w:unhideWhenUsed/>
    <w:qFormat/>
    <w:rPr/>
  </w:style>
  <w:style w:type="character" w:styleId="EndNoteBibliography" w:customStyle="1">
    <w:name w:val="EndNote Bibliography 字符"/>
    <w:basedOn w:val="DefaultParagraphFont"/>
    <w:link w:val="EndNoteBibliography1"/>
    <w:qFormat/>
    <w:rPr>
      <w:rFonts w:ascii="等线" w:hAnsi="等线" w:eastAsia="等线"/>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 w:type="paragraph" w:styleId="ListParagraph">
    <w:name w:val="List Paragraph"/>
    <w:basedOn w:val="Normal"/>
    <w:uiPriority w:val="34"/>
    <w:qFormat/>
    <w:pPr>
      <w:ind w:firstLine="420"/>
    </w:pPr>
    <w:rPr/>
  </w:style>
  <w:style w:type="paragraph" w:styleId="EndNoteBibliography1" w:customStyle="1">
    <w:name w:val="EndNote Bibliography"/>
    <w:basedOn w:val="Normal"/>
    <w:link w:val="EndNoteBibliography"/>
    <w:qFormat/>
    <w:pPr>
      <w:suppressAutoHyphens w:val="true"/>
    </w:pPr>
    <w:rPr>
      <w:rFonts w:ascii="等线" w:hAnsi="等线" w:eastAsia="等线"/>
    </w:rPr>
  </w:style>
  <w:style w:type="numbering" w:styleId="Style16"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704</TotalTime>
  <Application>LibreOffice/24.8.4.2$Linux_X86_64 LibreOffice_project/3e97788786b20d724e2ed0ea7a111abce73cab63</Application>
  <AppVersion>15.0000</AppVersion>
  <Pages>12</Pages>
  <Words>3597</Words>
  <Characters>20545</Characters>
  <CharactersWithSpaces>23960</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2024-11-18T02:33:00Z</dcterms:created>
  <dc:creator>RZ T</dc:creator>
  <dc:description/>
  <dc:language>zh-CN</dc:language>
  <cp:lastModifiedBy/>
  <dcterms:modified xsi:type="dcterms:W3CDTF">2025-02-12T20:44:32Z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AB7E2859D6C04EF8B07FBD4E2FA0D21C_12</vt:lpwstr>
  </property>
  <property fmtid="{D5CDD505-2E9C-101B-9397-08002B2CF9AE}" pid="3" name="KSOProductBuildVer">
    <vt:lpwstr>2052-12.1.0.18912</vt:lpwstr>
  </property>
</Properties>
</file>