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harts/chart1.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D0" w:rsidRDefault="004B5830" w:rsidP="00EA3D96">
      <w:pPr>
        <w:pStyle w:val="Heading1"/>
      </w:pPr>
      <w:r w:rsidRPr="004B5830">
        <w:t>Business Risk Profile vs. Defense-in-Depth Index Summary Report</w:t>
      </w:r>
    </w:p>
    <w:p w:rsidR="00D2582A" w:rsidRPr="00D2582A" w:rsidRDefault="00D2582A" w:rsidP="00D2582A"/>
    <w:p w:rsidR="004B5830" w:rsidRDefault="004B5830" w:rsidP="004B5830">
      <w:r>
        <w:rPr>
          <w:noProof/>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r:id="rId10"/>
              </a:graphicData>
            </a:graphic>
          </wp:inline>
        </w:drawing>
      </w:r>
    </w:p>
    <w:p w:rsidR="004B5830" w:rsidRDefault="004B5830" w:rsidP="004B5830">
      <w:pPr>
        <w:pStyle w:val="Heading2"/>
      </w:pPr>
      <w:r w:rsidRPr="004B5830">
        <w:t>Interpreting the Graphs</w:t>
      </w:r>
    </w:p>
    <w:p w:rsidR="004B5830" w:rsidRDefault="004B5830" w:rsidP="004B5830">
      <w:pPr>
        <w:pStyle w:val="ListParagraph"/>
        <w:numPr>
          <w:ilvl w:val="0"/>
          <w:numId w:val="1"/>
        </w:numPr>
      </w:pPr>
      <w:r w:rsidRPr="004B5830">
        <w:t>BRP ranges from 0 to 100, where a higher score implies a greater amount of potential business risk for that specific AoA. It is important to note that a score of zero is not possible here; conducting business in itself implies some level of risk. It is also important to understand that there are some aspects of running a business that have no direct mitigation strategy.</w:t>
      </w:r>
    </w:p>
    <w:p w:rsidR="004B5830" w:rsidRPr="006F5D52" w:rsidRDefault="006F5D52" w:rsidP="004B5830">
      <w:pPr>
        <w:pStyle w:val="ListParagraph"/>
        <w:numPr>
          <w:ilvl w:val="1"/>
          <w:numId w:val="1"/>
        </w:numPr>
        <w:rPr>
          <w:sz w:val="18"/>
          <w:szCs w:val="18"/>
        </w:rPr>
      </w:pPr>
      <w:r w:rsidRPr="006F5D52">
        <w:rPr>
          <w:b/>
          <w:sz w:val="18"/>
          <w:szCs w:val="18"/>
        </w:rPr>
        <w:t>Business Risk Profile (BRP)</w:t>
      </w:r>
      <w:r w:rsidR="007C6148">
        <w:rPr>
          <w:sz w:val="18"/>
          <w:szCs w:val="18"/>
        </w:rPr>
        <w:t xml:space="preserve"> - </w:t>
      </w:r>
      <w:r w:rsidR="007C6148" w:rsidRPr="007C6148">
        <w:rPr>
          <w:sz w:val="18"/>
          <w:szCs w:val="18"/>
        </w:rPr>
        <w:t>A measurement of the risk to which an organization is exposed, based on the business environment and industry in which it competes.</w:t>
      </w:r>
    </w:p>
    <w:p w:rsidR="004B5830" w:rsidRPr="006F5D52" w:rsidRDefault="006F5D52" w:rsidP="004B5830">
      <w:pPr>
        <w:pStyle w:val="ListParagraph"/>
        <w:numPr>
          <w:ilvl w:val="1"/>
          <w:numId w:val="1"/>
        </w:numPr>
        <w:rPr>
          <w:sz w:val="18"/>
          <w:szCs w:val="18"/>
        </w:rPr>
      </w:pPr>
      <w:r w:rsidRPr="006F5D52">
        <w:rPr>
          <w:b/>
          <w:sz w:val="18"/>
          <w:szCs w:val="18"/>
        </w:rPr>
        <w:t>AoAs</w:t>
      </w:r>
      <w:r w:rsidRPr="006F5D52">
        <w:rPr>
          <w:sz w:val="18"/>
          <w:szCs w:val="18"/>
        </w:rPr>
        <w:t xml:space="preserve"> - </w:t>
      </w:r>
      <w:r w:rsidR="003E6480">
        <w:rPr>
          <w:sz w:val="18"/>
          <w:szCs w:val="18"/>
        </w:rPr>
        <w:t>Areas of Analysis which are infrastructure, applications, operations, and people.</w:t>
      </w:r>
    </w:p>
    <w:p w:rsidR="004B5830" w:rsidRDefault="004B5830" w:rsidP="004B5830">
      <w:pPr>
        <w:pStyle w:val="ListParagraph"/>
        <w:numPr>
          <w:ilvl w:val="0"/>
          <w:numId w:val="1"/>
        </w:numPr>
      </w:pPr>
      <w:r w:rsidRPr="004B5830">
        <w:t>DiDI also ranges from 0 to 100. A high score indicates an environment where a greater number of measures have been taken to deploy defense-in-depth strategies in a particular AoA. The DiDI score does not reflect overall security efficacy or even resources spent on security, rather it is a reflection of the overall strategy used to defend the environment.</w:t>
      </w:r>
    </w:p>
    <w:p w:rsidR="006F5D52" w:rsidRPr="006F5D52" w:rsidRDefault="006F5D52" w:rsidP="006F5D52">
      <w:pPr>
        <w:pStyle w:val="ListParagraph"/>
        <w:numPr>
          <w:ilvl w:val="1"/>
          <w:numId w:val="1"/>
        </w:numPr>
        <w:rPr>
          <w:sz w:val="18"/>
          <w:szCs w:val="18"/>
        </w:rPr>
      </w:pPr>
      <w:r w:rsidRPr="006F5D52">
        <w:rPr>
          <w:b/>
          <w:sz w:val="18"/>
          <w:szCs w:val="18"/>
        </w:rPr>
        <w:t>Defence-in-Depth Index (DiDI)</w:t>
      </w:r>
      <w:r w:rsidRPr="006F5D52">
        <w:rPr>
          <w:sz w:val="18"/>
          <w:szCs w:val="18"/>
        </w:rPr>
        <w:t xml:space="preserve"> - </w:t>
      </w:r>
      <w:r w:rsidR="007C6148" w:rsidRPr="007C6148">
        <w:rPr>
          <w:sz w:val="18"/>
          <w:szCs w:val="18"/>
        </w:rPr>
        <w:t>A measurement of the security defences used across people, process and technology to help to mitigate the risks identified for a business.</w:t>
      </w:r>
    </w:p>
    <w:p w:rsidR="004B5830" w:rsidRPr="004B5830" w:rsidRDefault="004B5830" w:rsidP="004B5830">
      <w:pPr>
        <w:pStyle w:val="ListParagraph"/>
        <w:numPr>
          <w:ilvl w:val="0"/>
          <w:numId w:val="1"/>
        </w:numPr>
      </w:pPr>
      <w:r w:rsidRPr="004B5830">
        <w:t>Intuitively, it may seem that a low BRP score and a high DiDI score are a good outcome, but this is not always the case. The scope of this self-assessment does not allow for all factors to be taken into consideration. Significant disparity between BRP and DiDI scores in a particular AoA suggests that further examination of this AoA is recommended. When analyzing your results it is important to consider the individual scores, both BRP and DiDI, in relation to one another. A stable environment will probably be represented by relatively equal scores across all areas. Disparities between DiDI scores are a strong indicator that overall security strategy is focused on a single mitigation technique. If the security strategy does not balance people, process and technology aspects, the environment will probably be more vulnerable to attack.</w:t>
      </w:r>
    </w:p>
    <w:sectPr w:rsidR="004B5830" w:rsidRPr="004B5830" w:rsidSect="005206D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314" w:rsidRDefault="00C52314" w:rsidP="00563E16">
      <w:pPr>
        <w:spacing w:after="0" w:line="240" w:lineRule="auto"/>
      </w:pPr>
      <w:r>
        <w:separator/>
      </w:r>
    </w:p>
  </w:endnote>
  <w:endnote w:type="continuationSeparator" w:id="1">
    <w:p w:rsidR="00C52314" w:rsidRDefault="00C52314" w:rsidP="00563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314" w:rsidRDefault="00C52314" w:rsidP="00563E16">
      <w:pPr>
        <w:spacing w:after="0" w:line="240" w:lineRule="auto"/>
      </w:pPr>
      <w:r>
        <w:separator/>
      </w:r>
    </w:p>
  </w:footnote>
  <w:footnote w:type="continuationSeparator" w:id="1">
    <w:p w:rsidR="00C52314" w:rsidRDefault="00C52314" w:rsidP="00563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E16" w:rsidRPr="00EA3D96" w:rsidRDefault="009D451D">
    <w:pPr>
      <w:pStyle w:val="Header"/>
      <w:rPr>
        <w:rFonts w:ascii="Segoe UI" w:hAnsi="Segoe UI" w:cs="Segoe UI"/>
      </w:rPr>
    </w:pPr>
    <w:r>
      <w:rPr>
        <w:rFonts w:ascii="Segoe UI" w:hAnsi="Segoe UI" w:cs="Segoe UI"/>
      </w:rPr>
      <w:t>Microsoft Security Assessment Tool</w:t>
    </w:r>
  </w:p>
  <w:p w:rsidR="00EA3D96" w:rsidRPr="00EA3D96" w:rsidRDefault="00EA3D96">
    <w:pPr>
      <w:pStyle w:val="Header"/>
      <w:rPr>
        <w:rFonts w:ascii="Arial" w:hAnsi="Arial" w:cs="Arial"/>
        <w:sz w:val="20"/>
        <w:szCs w:val="20"/>
      </w:rPr>
    </w:pPr>
    <w:r w:rsidRPr="00EA3D96">
      <w:rPr>
        <w:rFonts w:ascii="Arial" w:hAnsi="Arial" w:cs="Arial"/>
        <w:sz w:val="20"/>
        <w:szCs w:val="20"/>
      </w:rPr>
      <w:t>"Alah_Abar" SRL</w:t>
    </w:r>
  </w:p>
  <w:p w:rsidR="00EA3D96" w:rsidRPr="00EA3D96" w:rsidRDefault="00EA3D96">
    <w:pPr>
      <w:pStyle w:val="Header"/>
      <w:rPr>
        <w:rFonts w:ascii="Arial" w:hAnsi="Arial" w:cs="Arial"/>
        <w:sz w:val="20"/>
        <w:szCs w:val="20"/>
      </w:rPr>
    </w:pPr>
    <w:r w:rsidRPr="00EA3D96">
      <w:rPr>
        <w:rFonts w:ascii="Arial" w:hAnsi="Arial" w:cs="Arial"/>
        <w:sz w:val="20"/>
        <w:szCs w:val="20"/>
      </w:rPr>
      <w:t>Completed: 31-янв-24 16:13</w:t>
    </w:r>
  </w:p>
  <w:p w:rsidR="00563E16" w:rsidRDefault="00563E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336F6"/>
    <w:multiLevelType w:val="hybridMultilevel"/>
    <w:tmpl w:val="861E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3E16"/>
    <w:rsid w:val="00057129"/>
    <w:rsid w:val="00315927"/>
    <w:rsid w:val="00370D47"/>
    <w:rsid w:val="003E6480"/>
    <w:rsid w:val="004B5830"/>
    <w:rsid w:val="004F0136"/>
    <w:rsid w:val="005206D0"/>
    <w:rsid w:val="00563E16"/>
    <w:rsid w:val="005A22ED"/>
    <w:rsid w:val="006F5D52"/>
    <w:rsid w:val="007823AB"/>
    <w:rsid w:val="007C6148"/>
    <w:rsid w:val="009D451D"/>
    <w:rsid w:val="00A84923"/>
    <w:rsid w:val="00C52314"/>
    <w:rsid w:val="00D0487D"/>
    <w:rsid w:val="00D2582A"/>
    <w:rsid w:val="00EA3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6D0"/>
  </w:style>
  <w:style w:type="paragraph" w:styleId="Heading1">
    <w:name w:val="heading 1"/>
    <w:basedOn w:val="Normal"/>
    <w:next w:val="Normal"/>
    <w:link w:val="Heading1Char"/>
    <w:uiPriority w:val="9"/>
    <w:qFormat/>
    <w:rsid w:val="00057129"/>
    <w:pPr>
      <w:keepNext/>
      <w:keepLines/>
      <w:spacing w:before="480" w:after="0"/>
      <w:outlineLvl w:val="0"/>
    </w:pPr>
    <w:rPr>
      <w:rFonts w:ascii="Arial" w:eastAsiaTheme="majorEastAsia" w:hAnsi="Arial" w:cstheme="majorBidi"/>
      <w:b/>
      <w:bCs/>
      <w:color w:val="548DD4" w:themeColor="text2" w:themeTint="99"/>
      <w:sz w:val="24"/>
      <w:szCs w:val="28"/>
    </w:rPr>
  </w:style>
  <w:style w:type="paragraph" w:styleId="Heading2">
    <w:name w:val="heading 2"/>
    <w:basedOn w:val="Normal"/>
    <w:next w:val="Normal"/>
    <w:link w:val="Heading2Char"/>
    <w:uiPriority w:val="9"/>
    <w:unhideWhenUsed/>
    <w:qFormat/>
    <w:rsid w:val="004B5830"/>
    <w:pPr>
      <w:keepNext/>
      <w:keepLines/>
      <w:spacing w:before="200" w:after="0"/>
      <w:outlineLvl w:val="1"/>
    </w:pPr>
    <w:rPr>
      <w:rFonts w:ascii="Arial" w:eastAsiaTheme="majorEastAsia" w:hAnsi="Arial"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16"/>
  </w:style>
  <w:style w:type="paragraph" w:styleId="Footer">
    <w:name w:val="footer"/>
    <w:basedOn w:val="Normal"/>
    <w:link w:val="FooterChar"/>
    <w:uiPriority w:val="99"/>
    <w:semiHidden/>
    <w:unhideWhenUsed/>
    <w:rsid w:val="00563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E16"/>
  </w:style>
  <w:style w:type="paragraph" w:styleId="BalloonText">
    <w:name w:val="Balloon Text"/>
    <w:basedOn w:val="Normal"/>
    <w:link w:val="BalloonTextChar"/>
    <w:uiPriority w:val="99"/>
    <w:semiHidden/>
    <w:unhideWhenUsed/>
    <w:rsid w:val="0056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16"/>
    <w:rPr>
      <w:rFonts w:ascii="Tahoma" w:hAnsi="Tahoma" w:cs="Tahoma"/>
      <w:sz w:val="16"/>
      <w:szCs w:val="16"/>
    </w:rPr>
  </w:style>
  <w:style w:type="character" w:customStyle="1" w:styleId="Heading1Char">
    <w:name w:val="Heading 1 Char"/>
    <w:basedOn w:val="DefaultParagraphFont"/>
    <w:link w:val="Heading1"/>
    <w:uiPriority w:val="9"/>
    <w:rsid w:val="00057129"/>
    <w:rPr>
      <w:rFonts w:ascii="Arial" w:eastAsiaTheme="majorEastAsia" w:hAnsi="Arial" w:cstheme="majorBidi"/>
      <w:b/>
      <w:bCs/>
      <w:color w:val="548DD4" w:themeColor="text2" w:themeTint="99"/>
      <w:sz w:val="24"/>
      <w:szCs w:val="28"/>
    </w:rPr>
  </w:style>
  <w:style w:type="character" w:customStyle="1" w:styleId="Heading2Char">
    <w:name w:val="Heading 2 Char"/>
    <w:basedOn w:val="DefaultParagraphFont"/>
    <w:link w:val="Heading2"/>
    <w:uiPriority w:val="9"/>
    <w:rsid w:val="004B5830"/>
    <w:rPr>
      <w:rFonts w:ascii="Arial" w:eastAsiaTheme="majorEastAsia" w:hAnsi="Arial" w:cstheme="majorBidi"/>
      <w:b/>
      <w:bCs/>
      <w:sz w:val="24"/>
      <w:szCs w:val="26"/>
    </w:rPr>
  </w:style>
  <w:style w:type="paragraph" w:styleId="ListParagraph">
    <w:name w:val="List Paragraph"/>
    <w:basedOn w:val="Normal"/>
    <w:uiPriority w:val="34"/>
    <w:qFormat/>
    <w:rsid w:val="004B58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Type="http://schemas.openxmlformats.org/officeDocument/2006/relationships/fontTable" Target="fontTable.xml" Id="rId8" />
  <Relationship Type="http://schemas.openxmlformats.org/officeDocument/2006/relationships/settings" Target="settings.xml" Id="rId3" />
  <Relationship Type="http://schemas.openxmlformats.org/officeDocument/2006/relationships/header" Target="header1.xml" Id="rId7" />
  <Relationship Type="http://schemas.openxmlformats.org/officeDocument/2006/relationships/styles" Target="styles.xml" Id="rId2" />
  <Relationship Type="http://schemas.openxmlformats.org/officeDocument/2006/relationships/numbering" Target="numbering.xml" Id="rId1" />
  <Relationship Type="http://schemas.openxmlformats.org/officeDocument/2006/relationships/endnotes" Target="endnotes.xml" Id="rId6" />
  <Relationship Type="http://schemas.openxmlformats.org/officeDocument/2006/relationships/footnotes" Target="footnotes.xml" Id="rId5" />
  <Relationship Type="http://schemas.openxmlformats.org/officeDocument/2006/relationships/webSettings" Target="webSettings.xml" Id="rId4" />
  <Relationship Type="http://schemas.openxmlformats.org/officeDocument/2006/relationships/theme" Target="theme/theme1.xml" Id="rId9" />
  <Relationship Type="http://schemas.openxmlformats.org/officeDocument/2006/relationships/chart" Target="/word/charts/chart1.xml" Id="rId10" />
</Relationships>
</file>

<file path=word/charts/_rels/chart1.xml.rels>&#65279;<?xml version="1.0" encoding="utf-8"?><Relationships xmlns="http://schemas.openxmlformats.org/package/2006/relationships"><Relationship Type="http://schemas.openxmlformats.org/officeDocument/2006/relationships/package" Target="/word/embeddings/Microsoft_Office_Excel_Worksheet1.xlsx" Id="rId1"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barChart>
        <c:barDir val="col"/>
        <c:grouping val="clustered"/>
        <c:ser>
          <c:idx val="0"/>
          <c:order val="0"/>
          <c:tx>
            <c:strRef>
              <c:f>Sheet1!$B$1</c:f>
              <c:strCache>
                <c:ptCount val="1"/>
                <c:pt idx="0">
                  <c:v>BRP</c:v>
                </c:pt>
              </c:strCache>
            </c:strRef>
          </c:tx>
          <c:cat>
            <c:strRef>
              <c:f>Sheet1!$A$2:$A$5</c:f>
              <c:strCache>
                <c:ptCount val="4"/>
                <c:pt idx="0">
                  <c:v>Infrastructure</c:v>
                </c:pt>
                <c:pt idx="1">
                  <c:v>Applications</c:v>
                </c:pt>
                <c:pt idx="2">
                  <c:v>Operations</c:v>
                </c:pt>
                <c:pt idx="3">
                  <c:v>People</c:v>
                </c:pt>
              </c:strCache>
            </c:strRef>
          </c:cat>
          <c:val>
            <c:numRef>
              <c:f>Sheet1!$B$2:$B$5</c:f>
              <c:numCache>
                <c:formatCode>General</c:formatCode>
                <c:ptCount val="4"/>
                <c:pt idx="0">
                  <c:v>53.7815126050366</c:v>
                </c:pt>
                <c:pt idx="1">
                  <c:v>37.1428571428564</c:v>
                </c:pt>
                <c:pt idx="2">
                  <c:v>44.8979591836717</c:v>
                </c:pt>
                <c:pt idx="3">
                  <c:v>28.5714285714251</c:v>
                </c:pt>
              </c:numCache>
            </c:numRef>
          </c:val>
        </c:ser>
        <c:ser>
          <c:idx val="1"/>
          <c:order val="1"/>
          <c:tx>
            <c:strRef>
              <c:f>Sheet1!$C$1</c:f>
              <c:strCache>
                <c:ptCount val="1"/>
                <c:pt idx="0">
                  <c:v>DiDI</c:v>
                </c:pt>
              </c:strCache>
            </c:strRef>
          </c:tx>
          <c:spPr>
            <a:solidFill>
              <a:srgbClr val="7030A0"/>
            </a:solidFill>
          </c:spPr>
          <c:cat>
            <c:strRef>
              <c:f>Sheet1!$A$2:$A$5</c:f>
              <c:strCache>
                <c:ptCount val="4"/>
                <c:pt idx="0">
                  <c:v>Infrastructure</c:v>
                </c:pt>
                <c:pt idx="1">
                  <c:v>Applications</c:v>
                </c:pt>
                <c:pt idx="2">
                  <c:v>Operations</c:v>
                </c:pt>
                <c:pt idx="3">
                  <c:v>People</c:v>
                </c:pt>
              </c:strCache>
            </c:strRef>
          </c:cat>
          <c:val>
            <c:numRef>
              <c:f>Sheet1!$C$2:$C$5</c:f>
              <c:numCache>
                <c:formatCode>General</c:formatCode>
                <c:ptCount val="4"/>
                <c:pt idx="0">
                  <c:v>55.5555555555556</c:v>
                </c:pt>
                <c:pt idx="1">
                  <c:v>54.1850220264317</c:v>
                </c:pt>
                <c:pt idx="2">
                  <c:v>53.8461538461538</c:v>
                </c:pt>
                <c:pt idx="3">
                  <c:v>3.59281437125748</c:v>
                </c:pt>
              </c:numCache>
            </c:numRef>
          </c:val>
        </c:ser>
        <c:axId val="76579584"/>
        <c:axId val="76581120"/>
      </c:barChart>
      <c:catAx>
        <c:axId val="76579584"/>
        <c:scaling>
          <c:orientation val="minMax"/>
        </c:scaling>
        <c:axPos val="b"/>
        <c:tickLblPos val="nextTo"/>
        <c:crossAx val="76581120"/>
        <c:crosses val="autoZero"/>
        <c:auto val="1"/>
        <c:lblAlgn val="ctr"/>
        <c:lblOffset val="100"/>
      </c:catAx>
      <c:valAx>
        <c:axId val="76581120"/>
        <c:scaling>
          <c:orientation val="minMax"/>
        </c:scaling>
        <c:axPos val="l"/>
        <c:majorGridlines/>
        <c:numFmt formatCode="General" sourceLinked="1"/>
        <c:tickLblPos val="nextTo"/>
        <c:crossAx val="765795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Words>
  <Characters>292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6</cp:revision>
  <dcterms:created xsi:type="dcterms:W3CDTF">2008-08-15T05:06:00Z</dcterms:created>
  <dcterms:modified xsi:type="dcterms:W3CDTF">2008-08-15T21:10:00Z</dcterms:modified>
</cp:coreProperties>
</file>