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_rels/chart1.xml.rels" ContentType="application/vnd.openxmlformats-package.relationships+xml"/>
  <Override PartName="/word/charts/chart1.xml" ContentType="application/vnd.openxmlformats-officedocument.drawingml.chart+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embeddings/Microsoft_Excel_Worksheet1.xlsx" ContentType="application/vnd.openxmlformats-officedocument.spreadsheetml.shee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1</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„Managementul și Auditul Securitații Informaționale</w:t>
      </w:r>
      <w:r>
        <w:rPr>
          <w:b w:val="false"/>
          <w:color w:val="000000"/>
          <w:sz w:val="32"/>
          <w:shd w:fill="FFFFFF" w:val="clear"/>
          <w:lang w:val="en-US"/>
        </w:rPr>
        <w:t>”</w:t>
      </w:r>
    </w:p>
    <w:p>
      <w:pPr>
        <w:pStyle w:val="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w:t>
      </w:r>
      <w:hyperlink r:id="rId2">
        <w:r>
          <w:rPr>
            <w:rStyle w:val="Hyperlink"/>
            <w:rFonts w:cs="Times New Roman" w:ascii="Times New Roman" w:hAnsi="Times New Roman"/>
            <w:sz w:val="28"/>
            <w:szCs w:val="24"/>
            <w:shd w:fill="FFFFFF" w:val="clear"/>
            <w:lang w:val="en-US"/>
          </w:rPr>
          <w:t>Evaluarea RI utilizind Microsoft Security Assessment Tool</w:t>
        </w:r>
        <w:r>
          <w:rPr>
            <w:rStyle w:val="Hyperlink"/>
            <w:rFonts w:cs="Times New Roman" w:ascii="Times New Roman" w:hAnsi="Times New Roman"/>
            <w:sz w:val="28"/>
            <w:szCs w:val="24"/>
            <w:shd w:fill="FFFFFF" w:val="clear"/>
            <w:lang w:val="en-US"/>
          </w:rPr>
          <w:t>Assignment</w:t>
        </w:r>
      </w:hyperlink>
      <w:r>
        <w:rPr>
          <w:rFonts w:cs="Times New Roman" w:ascii="Times New Roman" w:hAnsi="Times New Roman"/>
          <w:bCs/>
          <w:sz w:val="32"/>
          <w:szCs w:val="28"/>
          <w:lang w:val="ro-RO"/>
        </w:rPr>
        <w:t>.</w:t>
      </w:r>
      <w:r>
        <w:rPr>
          <w:rFonts w:cs="Times New Roman" w:ascii="Times New Roman" w:hAnsi="Times New Roman"/>
          <w:bCs/>
          <w:sz w:val="32"/>
          <w:szCs w:val="28"/>
          <w:lang w:val="en-US"/>
        </w:rPr>
        <w:t>”</w:t>
      </w:r>
    </w:p>
    <w:p>
      <w:pPr>
        <w:pStyle w:val="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E. Nemerenco</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2024</w:t>
      </w:r>
    </w:p>
    <w:p>
      <w:pPr>
        <w:pStyle w:val="Normal"/>
        <w:jc w:val="center"/>
        <w:rPr>
          <w:rFonts w:ascii="Times New Roman" w:hAnsi="Times New Roman" w:cs="Times New Roman"/>
          <w:b/>
          <w:sz w:val="32"/>
          <w:szCs w:val="24"/>
          <w:lang w:val="ro-RO"/>
        </w:rPr>
      </w:pPr>
      <w:r>
        <w:rPr>
          <w:rFonts w:cs="Times New Roman" w:ascii="Times New Roman" w:hAnsi="Times New Roman"/>
          <w:b/>
          <w:sz w:val="32"/>
          <w:szCs w:val="24"/>
          <w:lang w:val="ro-RO"/>
        </w:rPr>
        <w:t>Introducere</w:t>
      </w:r>
    </w:p>
    <w:p>
      <w:pPr>
        <w:pStyle w:val="Normal"/>
        <w:ind w:firstLine="708"/>
        <w:rPr>
          <w:rFonts w:ascii="Times New Roman" w:hAnsi="Times New Roman" w:cs="Times New Roman"/>
          <w:sz w:val="24"/>
          <w:szCs w:val="24"/>
          <w:lang w:val="en-US"/>
        </w:rPr>
      </w:pPr>
      <w:r>
        <w:rPr>
          <w:rFonts w:cs="Times New Roman" w:ascii="Times New Roman" w:hAnsi="Times New Roman"/>
          <w:sz w:val="24"/>
          <w:szCs w:val="24"/>
          <w:lang w:val="ro-RO"/>
        </w:rPr>
        <w:t xml:space="preserve">Mai jos </w:t>
      </w:r>
      <w:r>
        <w:rPr>
          <w:rFonts w:cs="Times New Roman" w:ascii="Times New Roman" w:hAnsi="Times New Roman"/>
          <w:sz w:val="24"/>
          <w:szCs w:val="24"/>
          <w:lang w:val="en-US"/>
        </w:rPr>
        <w:t>este un raport care compară Profilul de Risc al Afacerii (Business Risk Profile - BRP) și Indicele de Apărare în Profunzime (Defence-in-Depth Index - DiDI) pentru o organizație. Se măsoară riscul de afaceri pe baza mediului de afaceri și a industriei prin BRP, în timp ce DiDI evaluează apărările de securitate folosite în diferite aspecte precum oameni, procese și tehnologie. Raportul subliniază importanța echilibrării acestor scoruri, indicând că disparitățile pot semnala necesitatea unui examen și ajustare suplimentară a strategiilor de securitate. De asemenea, accentuează semnificația considerării scorurilor BRP și DiDI în relație unul cu celălalt pentru o înțelegere cuprinzătoare a posturii de risc și securitate a unei organizații.</w:t>
      </w:r>
    </w:p>
    <w:p>
      <w:pPr>
        <w:pStyle w:val="Heading1"/>
        <w:spacing w:before="280" w:after="280"/>
        <w:rPr>
          <w:sz w:val="32"/>
          <w:lang w:val="en-US"/>
        </w:rPr>
      </w:pPr>
      <w:r>
        <w:rPr>
          <w:sz w:val="32"/>
          <w:lang w:val="en-US"/>
        </w:rPr>
        <w:t>Business Risk Profile vs. Defense-in-Depth Index Summary Report</w:t>
      </w:r>
    </w:p>
    <w:p>
      <w:pPr>
        <w:pStyle w:val="Normal"/>
        <w:rPr>
          <w:lang w:val="en-US"/>
        </w:rPr>
      </w:pPr>
      <w:r>
        <w:rPr>
          <w:lang w:val="en-US"/>
        </w:rPr>
      </w:r>
    </w:p>
    <w:p>
      <w:pPr>
        <w:pStyle w:val="Normal"/>
        <w:rPr/>
      </w:pPr>
      <w:r>
        <w:rPr/>
        <w:drawing>
          <wp:inline distT="0" distB="0" distL="0" distR="0">
            <wp:extent cx="5486400" cy="3200400"/>
            <wp:effectExtent l="0" t="0" r="0" b="0"/>
            <wp:docPr id="1" name="Chart 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Heading2"/>
        <w:rPr/>
      </w:pPr>
      <w:r>
        <w:rPr/>
        <w:t>Interpreting the Graphs</w:t>
      </w:r>
    </w:p>
    <w:p>
      <w:pPr>
        <w:pStyle w:val="ListParagraph"/>
        <w:numPr>
          <w:ilvl w:val="0"/>
          <w:numId w:val="1"/>
        </w:numPr>
        <w:rPr/>
      </w:pPr>
      <w:r>
        <w:rPr/>
        <w:t>BRP ranges from 0 to 100, where a higher score implies a greater amount of potential business risk for that specific AoA. It is important to note that a score of zero is not possible here; conducting business in itself implies some level of risk. It is also important to understand that there are some aspects of running a business that have no direct mitigation strategy.</w:t>
      </w:r>
    </w:p>
    <w:p>
      <w:pPr>
        <w:pStyle w:val="ListParagraph"/>
        <w:numPr>
          <w:ilvl w:val="1"/>
          <w:numId w:val="1"/>
        </w:numPr>
        <w:rPr>
          <w:sz w:val="18"/>
          <w:szCs w:val="18"/>
        </w:rPr>
      </w:pPr>
      <w:r>
        <w:rPr>
          <w:b/>
          <w:sz w:val="18"/>
          <w:szCs w:val="18"/>
        </w:rPr>
        <w:t>Business Risk Profile (BRP)</w:t>
      </w:r>
      <w:r>
        <w:rPr>
          <w:sz w:val="18"/>
          <w:szCs w:val="18"/>
        </w:rPr>
        <w:t xml:space="preserve"> - A measurement of the risk to which an organization is exposed, based on the business environment and industry in which it competes.</w:t>
      </w:r>
    </w:p>
    <w:p>
      <w:pPr>
        <w:pStyle w:val="ListParagraph"/>
        <w:numPr>
          <w:ilvl w:val="1"/>
          <w:numId w:val="1"/>
        </w:numPr>
        <w:rPr>
          <w:sz w:val="18"/>
          <w:szCs w:val="18"/>
        </w:rPr>
      </w:pPr>
      <w:r>
        <w:rPr>
          <w:b/>
          <w:sz w:val="18"/>
          <w:szCs w:val="18"/>
        </w:rPr>
        <w:t>AoAs</w:t>
      </w:r>
      <w:r>
        <w:rPr>
          <w:sz w:val="18"/>
          <w:szCs w:val="18"/>
        </w:rPr>
        <w:t xml:space="preserve"> - Areas of Analysis which are infrastructure, applications, operations, and people.</w:t>
      </w:r>
    </w:p>
    <w:p>
      <w:pPr>
        <w:pStyle w:val="ListParagraph"/>
        <w:numPr>
          <w:ilvl w:val="0"/>
          <w:numId w:val="1"/>
        </w:numPr>
        <w:rPr/>
      </w:pPr>
      <w:r>
        <w:rPr/>
        <w:t>DiDI also ranges from 0 to 100. A high score indicates an environment where a greater number of measures have been taken to deploy defense-in-depth strategies in a particular AoA. The DiDI score does not reflect overall security efficacy or even resources spent on security, rather it is a reflection of the overall strategy used to defend the environment.</w:t>
      </w:r>
    </w:p>
    <w:p>
      <w:pPr>
        <w:pStyle w:val="ListParagraph"/>
        <w:numPr>
          <w:ilvl w:val="1"/>
          <w:numId w:val="1"/>
        </w:numPr>
        <w:rPr>
          <w:sz w:val="18"/>
          <w:szCs w:val="18"/>
        </w:rPr>
      </w:pPr>
      <w:r>
        <w:rPr>
          <w:b/>
          <w:sz w:val="18"/>
          <w:szCs w:val="18"/>
        </w:rPr>
        <w:t>Defence-in-Depth Index (DiDI)</w:t>
      </w:r>
      <w:r>
        <w:rPr>
          <w:sz w:val="18"/>
          <w:szCs w:val="18"/>
        </w:rPr>
        <w:t xml:space="preserve"> - A measurement of the security defences used across people, process and technology to help to mitigate the risks identified for a business.</w:t>
      </w:r>
    </w:p>
    <w:p>
      <w:pPr>
        <w:pStyle w:val="Normal"/>
        <w:rPr>
          <w:lang w:val="en-US"/>
        </w:rPr>
      </w:pPr>
      <w:r>
        <w:rPr>
          <w:lang w:val="en-US"/>
        </w:rPr>
        <w:t>Intuitively, it may seem that a low BRP score and a high DiDI score are a good outcome, but this is not always the case. The scope of this self-assessment does not allow for all factors to be taken into consideration. Significant disparity between BRP and DiDI scores in a particular AoA suggests that further examination of this AoA is recommended. When analyzing your results it is important to consider the individual scores, both BRP and DiDI, in relation to one another. A stable environment will probably be represented by relatively equal scores across all areas.</w:t>
      </w:r>
    </w:p>
    <w:p>
      <w:pPr>
        <w:pStyle w:val="Normal"/>
        <w:rPr/>
      </w:pPr>
      <w:r>
        <w:rPr>
          <w:lang w:val="en-US"/>
        </w:rPr>
        <w:t xml:space="preserve">Disparities between DiDI scores are a strong indicator that overall security strategy is focused on a single mitigation technique. </w:t>
      </w:r>
      <w:r>
        <w:rPr/>
        <w:t>If the security strategy does not balance people, process and technology aspects, the environment will probably be more vulnerable to attack.</w:t>
      </w:r>
    </w:p>
    <w:p>
      <w:pPr>
        <w:pStyle w:val="Normal"/>
        <w:jc w:val="center"/>
        <w:rPr>
          <w:rFonts w:ascii="Times New Roman" w:hAnsi="Times New Roman" w:cs="Times New Roman"/>
          <w:b/>
          <w:sz w:val="32"/>
          <w:szCs w:val="32"/>
          <w:lang w:val="en-US"/>
        </w:rPr>
      </w:pPr>
      <w:bookmarkStart w:id="0" w:name="_GoBack"/>
      <w:r>
        <w:rPr>
          <w:rFonts w:cs="Times New Roman" w:ascii="Times New Roman" w:hAnsi="Times New Roman"/>
          <w:b/>
          <w:sz w:val="32"/>
          <w:szCs w:val="32"/>
          <w:lang w:val="en-US"/>
        </w:rPr>
        <w:t>Rezumat</w:t>
      </w:r>
      <w:bookmarkEnd w:id="0"/>
    </w:p>
    <w:p>
      <w:pPr>
        <w:pStyle w:val="Normal"/>
        <w:rPr>
          <w:rFonts w:ascii="Times New Roman" w:hAnsi="Times New Roman" w:cs="Times New Roman"/>
          <w:lang w:val="en-US"/>
        </w:rPr>
      </w:pPr>
      <w:r>
        <w:rPr>
          <w:rFonts w:cs="Times New Roman" w:ascii="Times New Roman" w:hAnsi="Times New Roman"/>
          <w:lang w:val="en-US"/>
        </w:rPr>
        <w:t>Am analizat raportul detaliat privind evaluarea securității pentru Alah_Abar SRL. Rezumatul subliniază aspectele critice și recomandările în patru domenii principale: Infrastructură, Aplicații, Operațiuni și Oameni.</w:t>
      </w:r>
    </w:p>
    <w:p>
      <w:pPr>
        <w:pStyle w:val="Normal"/>
        <w:rPr>
          <w:rFonts w:ascii="Times New Roman" w:hAnsi="Times New Roman" w:cs="Times New Roman"/>
          <w:lang w:val="en-US"/>
        </w:rPr>
      </w:pPr>
      <w:r>
        <w:rPr>
          <w:rFonts w:cs="Times New Roman" w:ascii="Times New Roman" w:hAnsi="Times New Roman"/>
          <w:b/>
          <w:sz w:val="24"/>
          <w:lang w:val="en-US"/>
        </w:rPr>
        <w:t>Infrastructură</w:t>
      </w:r>
      <w:r>
        <w:rPr>
          <w:rFonts w:cs="Times New Roman" w:ascii="Times New Roman" w:hAnsi="Times New Roman"/>
          <w:lang w:val="en-US"/>
        </w:rPr>
        <w:t>: Se recomandă îmbunătățirea apărării perimetrale, a măsurilor antivirus și a protocoalelor de acces la distanță. Printre sugestii se numără segmentarea rețelei, sisteme avansate de detectare a intruziunilor și protocoale robuste de securitate wireless.</w:t>
      </w:r>
    </w:p>
    <w:p>
      <w:pPr>
        <w:pStyle w:val="Normal"/>
        <w:rPr>
          <w:rFonts w:ascii="Times New Roman" w:hAnsi="Times New Roman" w:cs="Times New Roman"/>
          <w:lang w:val="en-US"/>
        </w:rPr>
      </w:pPr>
      <w:r>
        <w:rPr>
          <w:rFonts w:cs="Times New Roman" w:ascii="Times New Roman" w:hAnsi="Times New Roman"/>
          <w:b/>
          <w:sz w:val="24"/>
          <w:lang w:val="en-US"/>
        </w:rPr>
        <w:t>Aplicații</w:t>
      </w:r>
      <w:r>
        <w:rPr>
          <w:rFonts w:cs="Times New Roman" w:ascii="Times New Roman" w:hAnsi="Times New Roman"/>
          <w:lang w:val="en-US"/>
        </w:rPr>
        <w:t>: Raportul sugerează asigurarea securității aplicațiilor prin actualizări regulate, adoptarea metodologiilor de dezvoltare sigure și îmbunătățirea designului aplicațiilor pentru a include autentificare și controluri de acces mai puternice.</w:t>
      </w:r>
    </w:p>
    <w:p>
      <w:pPr>
        <w:pStyle w:val="Normal"/>
        <w:rPr>
          <w:rFonts w:ascii="Times New Roman" w:hAnsi="Times New Roman" w:cs="Times New Roman"/>
          <w:lang w:val="en-US"/>
        </w:rPr>
      </w:pPr>
      <w:r>
        <w:rPr>
          <w:rFonts w:cs="Times New Roman" w:ascii="Times New Roman" w:hAnsi="Times New Roman"/>
          <w:b/>
          <w:sz w:val="24"/>
          <w:lang w:val="en-US"/>
        </w:rPr>
        <w:t>Operațiuni</w:t>
      </w:r>
      <w:r>
        <w:rPr>
          <w:rFonts w:cs="Times New Roman" w:ascii="Times New Roman" w:hAnsi="Times New Roman"/>
          <w:lang w:val="en-US"/>
        </w:rPr>
        <w:t>: Recomandările cheie includ implementarea unor politici de securitate stricte, îmbunătățirea clasificării și procedurilor de eliminare a datelor, precum și îmbunătățirea gestionării actualizărilor și patch-urilor. De asemenea, se subliniază importanța planificării recuperării după dezastre și reluarea afacerii.</w:t>
      </w:r>
    </w:p>
    <w:p>
      <w:pPr>
        <w:pStyle w:val="Normal"/>
        <w:rPr>
          <w:rFonts w:ascii="Times New Roman" w:hAnsi="Times New Roman" w:cs="Times New Roman"/>
          <w:lang w:val="en-US"/>
        </w:rPr>
      </w:pPr>
      <w:r>
        <w:rPr>
          <w:rFonts w:cs="Times New Roman" w:ascii="Times New Roman" w:hAnsi="Times New Roman"/>
          <w:b/>
          <w:sz w:val="24"/>
          <w:lang w:val="en-US"/>
        </w:rPr>
        <w:t>Oameni</w:t>
      </w:r>
      <w:r>
        <w:rPr>
          <w:rFonts w:cs="Times New Roman" w:ascii="Times New Roman" w:hAnsi="Times New Roman"/>
          <w:lang w:val="en-US"/>
        </w:rPr>
        <w:t>: Accentul este pus pe întărirea formării și conștientizării securității, efectuarea regulată a evaluărilor de securitate și stabilirea unor politici și proceduri clare pentru resurse umane și relații cu terți.</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b/>
          <w:sz w:val="24"/>
          <w:lang w:val="en-US"/>
        </w:rPr>
      </w:pPr>
      <w:r>
        <w:rPr>
          <w:rFonts w:cs="Times New Roman" w:ascii="Times New Roman" w:hAnsi="Times New Roman"/>
          <w:b/>
          <w:sz w:val="24"/>
          <w:lang w:val="en-US"/>
        </w:rPr>
        <w:t>Puncte Tari:</w:t>
      </w:r>
    </w:p>
    <w:p>
      <w:pPr>
        <w:pStyle w:val="Normal"/>
        <w:rPr>
          <w:rFonts w:ascii="Times New Roman" w:hAnsi="Times New Roman" w:cs="Times New Roman"/>
          <w:lang w:val="en-US"/>
        </w:rPr>
      </w:pPr>
      <w:r>
        <w:rPr>
          <w:rFonts w:cs="Times New Roman" w:ascii="Times New Roman" w:hAnsi="Times New Roman"/>
          <w:i/>
          <w:lang w:val="en-US"/>
        </w:rPr>
        <w:t>Tehnologie Avansată:</w:t>
      </w:r>
      <w:r>
        <w:rPr>
          <w:rFonts w:cs="Times New Roman" w:ascii="Times New Roman" w:hAnsi="Times New Roman"/>
          <w:lang w:val="en-US"/>
        </w:rPr>
        <w:t xml:space="preserve"> Utilizarea tehnologiilor de securitate avansate, cum ar fi firewall-uri, antivirusuri și sisteme de prevenire a intruziunilor.</w:t>
      </w:r>
    </w:p>
    <w:p>
      <w:pPr>
        <w:pStyle w:val="Normal"/>
        <w:rPr>
          <w:rFonts w:ascii="Times New Roman" w:hAnsi="Times New Roman" w:cs="Times New Roman"/>
          <w:lang w:val="en-US"/>
        </w:rPr>
      </w:pPr>
      <w:r>
        <w:rPr>
          <w:rFonts w:cs="Times New Roman" w:ascii="Times New Roman" w:hAnsi="Times New Roman"/>
          <w:i/>
          <w:lang w:val="en-US"/>
        </w:rPr>
        <w:t>Politici Stricte de Securitate:</w:t>
      </w:r>
      <w:r>
        <w:rPr>
          <w:rFonts w:cs="Times New Roman" w:ascii="Times New Roman" w:hAnsi="Times New Roman"/>
          <w:lang w:val="en-US"/>
        </w:rPr>
        <w:t xml:space="preserve"> Existenta unor politici clare și bine implementate privind securitatea IT.</w:t>
      </w:r>
    </w:p>
    <w:p>
      <w:pPr>
        <w:pStyle w:val="Normal"/>
        <w:rPr>
          <w:rFonts w:ascii="Times New Roman" w:hAnsi="Times New Roman" w:cs="Times New Roman"/>
          <w:lang w:val="en-US"/>
        </w:rPr>
      </w:pPr>
      <w:r>
        <w:rPr>
          <w:rFonts w:cs="Times New Roman" w:ascii="Times New Roman" w:hAnsi="Times New Roman"/>
          <w:i/>
          <w:lang w:val="en-US"/>
        </w:rPr>
        <w:t>Conștientizarea Angajaților:</w:t>
      </w:r>
      <w:r>
        <w:rPr>
          <w:rFonts w:cs="Times New Roman" w:ascii="Times New Roman" w:hAnsi="Times New Roman"/>
          <w:lang w:val="en-US"/>
        </w:rPr>
        <w:t xml:space="preserve"> Nivel ridicat de conștientizare a securității în rândul angajaților.</w:t>
      </w:r>
    </w:p>
    <w:p>
      <w:pPr>
        <w:pStyle w:val="Normal"/>
        <w:rPr>
          <w:rFonts w:ascii="Times New Roman" w:hAnsi="Times New Roman" w:cs="Times New Roman"/>
          <w:lang w:val="en-US"/>
        </w:rPr>
      </w:pPr>
      <w:r>
        <w:rPr>
          <w:rFonts w:cs="Times New Roman" w:ascii="Times New Roman" w:hAnsi="Times New Roman"/>
          <w:i/>
          <w:lang w:val="en-US"/>
        </w:rPr>
        <w:t>Managementul Riscurilor:</w:t>
      </w:r>
      <w:r>
        <w:rPr>
          <w:rFonts w:cs="Times New Roman" w:ascii="Times New Roman" w:hAnsi="Times New Roman"/>
          <w:lang w:val="en-US"/>
        </w:rPr>
        <w:t xml:space="preserve"> Abordare proactivă în identificarea și gestionarea riscurilor de securitate.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b/>
          <w:sz w:val="24"/>
          <w:szCs w:val="24"/>
          <w:lang w:val="en-US"/>
        </w:rPr>
      </w:pPr>
      <w:r>
        <w:rPr>
          <w:rFonts w:cs="Times New Roman" w:ascii="Times New Roman" w:hAnsi="Times New Roman"/>
          <w:b/>
          <w:sz w:val="24"/>
          <w:szCs w:val="24"/>
          <w:lang w:val="en-US"/>
        </w:rPr>
        <w:t>Puncte Slabe:</w:t>
      </w:r>
    </w:p>
    <w:p>
      <w:pPr>
        <w:pStyle w:val="Normal"/>
        <w:rPr>
          <w:rFonts w:ascii="Times New Roman" w:hAnsi="Times New Roman" w:cs="Times New Roman"/>
          <w:lang w:val="en-US"/>
        </w:rPr>
      </w:pPr>
      <w:r>
        <w:rPr>
          <w:rFonts w:cs="Times New Roman" w:ascii="Times New Roman" w:hAnsi="Times New Roman"/>
          <w:i/>
          <w:lang w:val="en-US"/>
        </w:rPr>
        <w:t>Lipsa Formării Periodice</w:t>
      </w:r>
      <w:r>
        <w:rPr>
          <w:rFonts w:cs="Times New Roman" w:ascii="Times New Roman" w:hAnsi="Times New Roman"/>
          <w:lang w:val="en-US"/>
        </w:rPr>
        <w:t>: Insuficienta formare a personalului în privința amenințărilor de securitate și a celor mai bune practici.</w:t>
      </w:r>
    </w:p>
    <w:p>
      <w:pPr>
        <w:pStyle w:val="Normal"/>
        <w:rPr>
          <w:rFonts w:ascii="Times New Roman" w:hAnsi="Times New Roman" w:cs="Times New Roman"/>
          <w:lang w:val="en-US"/>
        </w:rPr>
      </w:pPr>
      <w:r>
        <w:rPr>
          <w:rFonts w:cs="Times New Roman" w:ascii="Times New Roman" w:hAnsi="Times New Roman"/>
          <w:i/>
          <w:lang w:val="en-US"/>
        </w:rPr>
        <w:t>Vulnerabilități în Aplicații și Dispozitive:</w:t>
      </w:r>
      <w:r>
        <w:rPr>
          <w:rFonts w:cs="Times New Roman" w:ascii="Times New Roman" w:hAnsi="Times New Roman"/>
          <w:lang w:val="en-US"/>
        </w:rPr>
        <w:t xml:space="preserve"> Prezența vulnerabilităților nerezolvate în software și hardware.</w:t>
      </w:r>
    </w:p>
    <w:p>
      <w:pPr>
        <w:pStyle w:val="Normal"/>
        <w:rPr>
          <w:rFonts w:ascii="Times New Roman" w:hAnsi="Times New Roman" w:cs="Times New Roman"/>
          <w:lang w:val="en-US"/>
        </w:rPr>
      </w:pPr>
      <w:r>
        <w:rPr>
          <w:rFonts w:cs="Times New Roman" w:ascii="Times New Roman" w:hAnsi="Times New Roman"/>
          <w:i/>
          <w:lang w:val="en-US"/>
        </w:rPr>
        <w:t>Securitate Fizică Inadecvată:</w:t>
      </w:r>
      <w:r>
        <w:rPr>
          <w:rFonts w:cs="Times New Roman" w:ascii="Times New Roman" w:hAnsi="Times New Roman"/>
          <w:lang w:val="en-US"/>
        </w:rPr>
        <w:t xml:space="preserve"> Protecția fizică insuficientă a infrastructurii IT.</w:t>
      </w:r>
    </w:p>
    <w:p>
      <w:pPr>
        <w:pStyle w:val="Normal"/>
        <w:rPr>
          <w:rFonts w:ascii="Times New Roman" w:hAnsi="Times New Roman" w:cs="Times New Roman"/>
          <w:lang w:val="en-US"/>
        </w:rPr>
      </w:pPr>
      <w:r>
        <w:rPr>
          <w:rFonts w:cs="Times New Roman" w:ascii="Times New Roman" w:hAnsi="Times New Roman"/>
          <w:i/>
          <w:lang w:val="en-US"/>
        </w:rPr>
        <w:t>Planificare Insuficientă pentru Continuitatea Afacerii:</w:t>
      </w:r>
      <w:r>
        <w:rPr>
          <w:rFonts w:cs="Times New Roman" w:ascii="Times New Roman" w:hAnsi="Times New Roman"/>
          <w:lang w:val="en-US"/>
        </w:rPr>
        <w:t xml:space="preserve"> Lipsa unor planuri robuste pentru recuperarea după incidente majore de securitate.</w:t>
      </w:r>
    </w:p>
    <w:p>
      <w:pPr>
        <w:pStyle w:val="Normal"/>
        <w:rPr>
          <w:rFonts w:ascii="Times New Roman" w:hAnsi="Times New Roman" w:cs="Times New Roman"/>
          <w:lang w:val="en-US"/>
        </w:rPr>
      </w:pPr>
      <w:r>
        <w:rPr>
          <w:rFonts w:cs="Times New Roman" w:ascii="Times New Roman" w:hAnsi="Times New Roman"/>
          <w:lang w:val="en-US"/>
        </w:rPr>
      </w:r>
    </w:p>
    <w:p>
      <w:pPr>
        <w:pStyle w:val="Normal"/>
        <w:spacing w:before="0" w:after="200"/>
        <w:rPr>
          <w:rFonts w:ascii="Times New Roman" w:hAnsi="Times New Roman" w:cs="Times New Roman"/>
          <w:sz w:val="24"/>
          <w:szCs w:val="24"/>
          <w:lang w:val="en-US"/>
        </w:rPr>
      </w:pPr>
      <w:r>
        <w:rPr>
          <w:rFonts w:cs="Times New Roman" w:ascii="Times New Roman" w:hAnsi="Times New Roman"/>
          <w:sz w:val="24"/>
          <w:szCs w:val="24"/>
          <w:lang w:val="en-US"/>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Bookman Old Style">
    <w:charset w:val="01"/>
    <w:family w:val="roman"/>
    <w:pitch w:val="variable"/>
  </w:font>
  <w:font w:name="Arial">
    <w:charset w:val="01"/>
    <w:family w:val="roman"/>
    <w:pitch w:val="variable"/>
  </w:font>
  <w:font w:name="Symbol">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057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74057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7405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40576"/>
    <w:rPr>
      <w:rFonts w:ascii="Times New Roman" w:hAnsi="Times New Roman" w:eastAsia="Times New Roman" w:cs="Times New Roman"/>
      <w:b/>
      <w:bCs/>
      <w:kern w:val="2"/>
      <w:sz w:val="48"/>
      <w:szCs w:val="48"/>
      <w:lang w:eastAsia="ru-RU"/>
    </w:rPr>
  </w:style>
  <w:style w:type="character" w:styleId="Instancename" w:customStyle="1">
    <w:name w:val="instancename"/>
    <w:basedOn w:val="DefaultParagraphFont"/>
    <w:qFormat/>
    <w:rsid w:val="00740576"/>
    <w:rPr/>
  </w:style>
  <w:style w:type="character" w:styleId="Accesshide" w:customStyle="1">
    <w:name w:val="accesshide"/>
    <w:basedOn w:val="DefaultParagraphFont"/>
    <w:qFormat/>
    <w:rsid w:val="00740576"/>
    <w:rPr/>
  </w:style>
  <w:style w:type="character" w:styleId="Heading2Char" w:customStyle="1">
    <w:name w:val="Heading 2 Char"/>
    <w:basedOn w:val="DefaultParagraphFont"/>
    <w:link w:val="Heading2"/>
    <w:uiPriority w:val="9"/>
    <w:semiHidden/>
    <w:qFormat/>
    <w:rsid w:val="00740576"/>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740576"/>
    <w:pPr>
      <w:suppressAutoHyphens w:val="true"/>
      <w:spacing w:lineRule="auto" w:line="240" w:before="0" w:after="0"/>
    </w:pPr>
    <w:rPr>
      <w:rFonts w:ascii="Courier New" w:hAnsi="Courier New" w:eastAsia="Times New Roman" w:cs="Courier New"/>
      <w:sz w:val="20"/>
      <w:szCs w:val="20"/>
      <w:lang w:eastAsia="hi-IN" w:bidi="hi-IN"/>
    </w:rPr>
  </w:style>
  <w:style w:type="paragraph" w:styleId="ListParagraph">
    <w:name w:val="List Paragraph"/>
    <w:basedOn w:val="Normal"/>
    <w:uiPriority w:val="34"/>
    <w:qFormat/>
    <w:rsid w:val="00740576"/>
    <w:pPr>
      <w:spacing w:before="0" w:after="200"/>
      <w:ind w:left="720"/>
      <w:contextualSpacing/>
    </w:pPr>
    <w:rPr>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se.fcim.utm.md/mod/assign/view.php?id=10820" TargetMode="External"/><Relationship Id="rId3" Type="http://schemas.openxmlformats.org/officeDocument/2006/relationships/chart" Target="charts/chart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BRP</c:v>
                </c:pt>
              </c:strCache>
            </c:strRef>
          </c:tx>
          <c:spPr>
            <a:gradFill>
              <a:gsLst>
                <a:gs pos="0">
                  <a:srgbClr val="71a6da"/>
                </a:gs>
                <a:gs pos="50000">
                  <a:srgbClr val="549ada"/>
                </a:gs>
                <a:gs pos="100000">
                  <a:srgbClr val="448ac9"/>
                </a:gs>
              </a:gsLst>
              <a:lin ang="5400000"/>
            </a:gra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Infrastructure</c:v>
                </c:pt>
                <c:pt idx="1">
                  <c:v>Applications</c:v>
                </c:pt>
                <c:pt idx="2">
                  <c:v>Operations</c:v>
                </c:pt>
                <c:pt idx="3">
                  <c:v>People</c:v>
                </c:pt>
              </c:strCache>
            </c:strRef>
          </c:cat>
          <c:val>
            <c:numRef>
              <c:f>0</c:f>
              <c:numCache>
                <c:formatCode>General</c:formatCode>
                <c:ptCount val="4"/>
                <c:pt idx="0">
                  <c:v>53.7815126050366</c:v>
                </c:pt>
                <c:pt idx="1">
                  <c:v>37.1428571428564</c:v>
                </c:pt>
                <c:pt idx="2">
                  <c:v>44.8979591836717</c:v>
                </c:pt>
                <c:pt idx="3">
                  <c:v>28.5714285714251</c:v>
                </c:pt>
              </c:numCache>
            </c:numRef>
          </c:val>
        </c:ser>
        <c:ser>
          <c:idx val="1"/>
          <c:order val="1"/>
          <c:tx>
            <c:strRef>
              <c:f>label 1</c:f>
              <c:strCache>
                <c:ptCount val="1"/>
                <c:pt idx="0">
                  <c:v>DiDI</c:v>
                </c:pt>
              </c:strCache>
            </c:strRef>
          </c:tx>
          <c:spPr>
            <a:solidFill>
              <a:srgbClr val="7030a0"/>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Infrastructure</c:v>
                </c:pt>
                <c:pt idx="1">
                  <c:v>Applications</c:v>
                </c:pt>
                <c:pt idx="2">
                  <c:v>Operations</c:v>
                </c:pt>
                <c:pt idx="3">
                  <c:v>People</c:v>
                </c:pt>
              </c:strCache>
            </c:strRef>
          </c:cat>
          <c:val>
            <c:numRef>
              <c:f>1</c:f>
              <c:numCache>
                <c:formatCode>General</c:formatCode>
                <c:ptCount val="4"/>
                <c:pt idx="0">
                  <c:v>55.5555555555556</c:v>
                </c:pt>
                <c:pt idx="1">
                  <c:v>54.1850220264317</c:v>
                </c:pt>
                <c:pt idx="2">
                  <c:v>53.8461538461538</c:v>
                </c:pt>
                <c:pt idx="3">
                  <c:v>3.59281437125748</c:v>
                </c:pt>
              </c:numCache>
            </c:numRef>
          </c:val>
        </c:ser>
        <c:gapWidth val="150"/>
        <c:overlap val="0"/>
        <c:axId val="18495905"/>
        <c:axId val="75872641"/>
      </c:barChart>
      <c:catAx>
        <c:axId val="18495905"/>
        <c:scaling>
          <c:orientation val="minMax"/>
        </c:scaling>
        <c:delete val="0"/>
        <c:axPos val="b"/>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75872641"/>
        <c:crosses val="autoZero"/>
        <c:auto val="1"/>
        <c:lblAlgn val="ctr"/>
        <c:lblOffset val="100"/>
        <c:noMultiLvlLbl val="0"/>
      </c:catAx>
      <c:valAx>
        <c:axId val="75872641"/>
        <c:scaling>
          <c:orientation val="minMax"/>
        </c:scaling>
        <c:delete val="0"/>
        <c:axPos val="l"/>
        <c:majorGridlines>
          <c:spPr>
            <a:ln w="6480">
              <a:solidFill>
                <a:srgbClr val="8b8b8b"/>
              </a:solidFill>
              <a:round/>
            </a:ln>
          </c:spPr>
        </c:majorGridlines>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18495905"/>
        <c:crosses val="autoZero"/>
        <c:crossBetween val="between"/>
      </c:valAx>
      <c:spPr>
        <a:noFill/>
        <a:ln w="0">
          <a:noFill/>
        </a:ln>
      </c:spPr>
    </c:plotArea>
    <c:legend>
      <c:legendPos val="r"/>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LibreOffice/24.2.0.3$Linux_X86_64 LibreOffice_project/420$Build-3</Application>
  <AppVersion>15.0000</AppVersion>
  <Pages>4</Pages>
  <Words>769</Words>
  <Characters>4711</Characters>
  <CharactersWithSpaces>5576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2024-01-31T15:05:00Z</dcterms:created>
  <dc:creator>H1p</dc:creator>
  <dc:description/>
  <dc:language>en-US</dc:language>
  <cp:lastModifiedBy/>
  <dcterms:modified xsi:type="dcterms:W3CDTF">2024-03-14T21:00:23Z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