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43525" cy="2333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43525" cy="2333625"/>
                    </a:xfrm>
                    <a:prstGeom prst="rect">
                      <a:avLst/>
                    </a:prstGeom>
                  </pic:spPr>
                </pic:pic>
              </a:graphicData>
            </a:graphic>
          </wp:anchor>
        </w:drawing>
      </w:r>
    </w:p>
    <w:p>
      <w:pPr>
        <w:pStyle w:val="Normal"/>
        <w:jc w:val="center"/>
        <w:rPr>
          <w:lang w:val="en-US"/>
        </w:rPr>
      </w:pPr>
      <w:r>
        <w:rPr>
          <w:lang w:val="en-US"/>
        </w:rPr>
      </w:r>
    </w:p>
    <w:p>
      <w:pPr>
        <w:pStyle w:val="Normal"/>
        <w:jc w:val="center"/>
        <w:rPr>
          <w:lang w:val="en-US"/>
        </w:rPr>
      </w:pPr>
      <w:r>
        <w:rPr>
          <w:lang w:val="en-US"/>
        </w:rPr>
      </w:r>
    </w:p>
    <w:p>
      <w:pPr>
        <w:pStyle w:val="Normal"/>
        <w:jc w:val="center"/>
        <w:rPr>
          <w:rFonts w:ascii="Times New Roman" w:hAnsi="Times New Roman"/>
          <w:b/>
          <w:bCs/>
          <w:sz w:val="28"/>
          <w:szCs w:val="28"/>
        </w:rPr>
      </w:pPr>
      <w:r>
        <w:rPr>
          <w:rFonts w:ascii="Times New Roman" w:hAnsi="Times New Roman"/>
          <w:b/>
          <w:bCs/>
          <w:sz w:val="28"/>
          <w:szCs w:val="28"/>
          <w:lang w:val="en-US"/>
        </w:rPr>
        <w:t>S.R.L “CloudSentinel”</w:t>
      </w:r>
    </w:p>
    <w:p>
      <w:pPr>
        <w:pStyle w:val="Normal"/>
        <w:jc w:val="center"/>
        <w:rPr>
          <w:lang w:val="en-US"/>
        </w:rPr>
      </w:pPr>
      <w:r>
        <w:rPr>
          <w:lang w:val="en-US"/>
        </w:rPr>
      </w:r>
    </w:p>
    <w:p>
      <w:pPr>
        <w:pStyle w:val="Normal"/>
        <w:jc w:val="center"/>
        <w:rPr>
          <w:lang w:val="en-US"/>
        </w:rPr>
      </w:pPr>
      <w:r>
        <w:rPr>
          <w:lang w:val="en-US"/>
        </w:rPr>
      </w:r>
    </w:p>
    <w:p>
      <w:pPr>
        <w:pStyle w:val="Normal"/>
        <w:jc w:val="center"/>
        <w:rPr>
          <w:b/>
          <w:sz w:val="32"/>
          <w:szCs w:val="32"/>
          <w:lang w:val="en-US"/>
        </w:rPr>
      </w:pPr>
      <w:r>
        <w:rPr>
          <w:b/>
          <w:sz w:val="32"/>
          <w:lang w:val="en-US"/>
        </w:rPr>
        <w:t>DOCUMENTUL ISMS SCOPE</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4"/>
        <w:gridCol w:w="6913"/>
      </w:tblGrid>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Cod:</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SCP-3301</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Ver</w:t>
            </w:r>
            <w:r>
              <w:rPr>
                <w:lang w:val="en-US"/>
              </w:rPr>
              <w:t>siune</w:t>
            </w:r>
            <w:r>
              <w:rPr>
                <w:lang w:val="en-US"/>
              </w:rPr>
              <w:t>:</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0.4.</w:t>
            </w:r>
            <w:r>
              <w:rPr/>
              <w:t>1a</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Dat</w:t>
            </w:r>
            <w:r>
              <w:rPr>
                <w:lang w:val="en-US"/>
              </w:rPr>
              <w:t>a versiunii</w:t>
            </w:r>
            <w:r>
              <w:rPr>
                <w:lang w:val="en-US"/>
              </w:rPr>
              <w:t>:</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01.04.2024</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Creat de</w:t>
            </w:r>
            <w:r>
              <w:rPr>
                <w:lang w:val="en-US"/>
              </w:rPr>
              <w:t>:</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Chihai Adrian</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Aprobat de</w:t>
            </w:r>
            <w:r>
              <w:rPr>
                <w:lang w:val="en-US"/>
              </w:rPr>
              <w:t>:</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Chirita Stanislav</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Nivelul de confidențialitate:</w:t>
            </w:r>
          </w:p>
        </w:tc>
        <w:tc>
          <w:tcPr>
            <w:tcW w:w="6913" w:type="dxa"/>
            <w:tcBorders>
              <w:top w:val="single" w:sz="4" w:space="0" w:color="000000"/>
              <w:left w:val="single" w:sz="4" w:space="0" w:color="000000"/>
              <w:bottom w:val="single" w:sz="4" w:space="0" w:color="000000"/>
            </w:tcBorders>
          </w:tcPr>
          <w:p>
            <w:pPr>
              <w:pStyle w:val="Header"/>
              <w:spacing w:before="0" w:after="0"/>
              <w:jc w:val="center"/>
              <w:rPr>
                <w:sz w:val="22"/>
                <w:szCs w:val="22"/>
              </w:rPr>
            </w:pPr>
            <w:r>
              <w:rPr>
                <w:sz w:val="22"/>
                <w:szCs w:val="22"/>
                <w:lang w:val="en-US"/>
              </w:rPr>
              <w:t>Confidențial</w:t>
            </w:r>
          </w:p>
        </w:tc>
      </w:tr>
    </w:tbl>
    <w:p>
      <w:pPr>
        <w:pStyle w:val="Normal"/>
        <w:rPr>
          <w:lang w:val="en-US"/>
        </w:rPr>
      </w:pPr>
      <w:r>
        <w:rPr>
          <w:lang w:val="en-US"/>
        </w:rPr>
      </w:r>
    </w:p>
    <w:p>
      <w:pPr>
        <w:pStyle w:val="Normal"/>
        <w:rPr>
          <w:lang w:val="en-US"/>
        </w:rPr>
      </w:pPr>
      <w:r>
        <w:rPr>
          <w:lang w:val="en-US"/>
        </w:rPr>
      </w:r>
      <w:r>
        <w:br w:type="page"/>
      </w:r>
    </w:p>
    <w:p>
      <w:pPr>
        <w:pStyle w:val="Normal"/>
        <w:rPr>
          <w:b/>
          <w:sz w:val="28"/>
          <w:szCs w:val="28"/>
          <w:lang w:val="en-US"/>
        </w:rPr>
      </w:pPr>
      <w:r>
        <w:rPr>
          <w:b/>
          <w:sz w:val="28"/>
          <w:lang w:val="en-US"/>
        </w:rPr>
        <w:t>I</w:t>
      </w:r>
      <w:r>
        <w:rPr>
          <w:b/>
          <w:sz w:val="28"/>
          <w:lang w:val="en-US"/>
        </w:rPr>
        <w:t>storicul modificărilor</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2"/>
        <w:gridCol w:w="992"/>
        <w:gridCol w:w="1562"/>
        <w:gridCol w:w="5351"/>
      </w:tblGrid>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Dat</w:t>
            </w:r>
            <w:r>
              <w:rPr>
                <w:b/>
                <w:lang w:val="en-US"/>
              </w:rPr>
              <w:t>a</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Versiune</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 xml:space="preserve">Create </w:t>
            </w:r>
            <w:r>
              <w:rPr>
                <w:b/>
                <w:lang w:val="en-US"/>
              </w:rPr>
              <w:t>de</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Descriere a schimbării</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0.1</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jc w:val="left"/>
              <w:rPr>
                <w:lang w:val="en-US"/>
              </w:rPr>
            </w:pPr>
            <w:r>
              <w:rPr>
                <w:lang w:val="en-US"/>
              </w:rPr>
              <w:t>Chihai Adrian</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Inițială: Schiță de bază a documentului ISMS Scope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0.2</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Vozian Vladimir</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Adăugată secțiunea Introducere în documentul ISMS Scope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0.3</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Vozian Vladimir</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Adăugată secțiunea Concluzie în documentul ISMS Scope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0.4.</w:t>
            </w:r>
            <w:r>
              <w:rPr>
                <w:lang w:val="en-US"/>
              </w:rPr>
              <w:t>1a</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Chirita Stanislav</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Inserată bibliografia și formatare îmbunătățită în documentul ISMS Scope</w:t>
            </w:r>
          </w:p>
        </w:tc>
      </w:tr>
    </w:tbl>
    <w:p>
      <w:pPr>
        <w:pStyle w:val="Normal"/>
        <w:rPr>
          <w:lang w:val="en-US"/>
        </w:rPr>
      </w:pPr>
      <w:r>
        <w:rPr>
          <w:lang w:val="en-US"/>
        </w:rPr>
      </w:r>
    </w:p>
    <w:p>
      <w:pPr>
        <w:pStyle w:val="Normal"/>
        <w:rPr>
          <w:lang w:val="en-US"/>
        </w:rPr>
      </w:pPr>
      <w:r>
        <w:rPr>
          <w:lang w:val="en-US"/>
        </w:rPr>
      </w:r>
    </w:p>
    <w:p>
      <w:pPr>
        <w:pStyle w:val="Normal"/>
        <w:rPr>
          <w:b/>
          <w:sz w:val="28"/>
          <w:szCs w:val="28"/>
          <w:lang w:val="en-US"/>
        </w:rPr>
      </w:pPr>
      <w:r>
        <w:rPr>
          <w:b/>
          <w:sz w:val="28"/>
          <w:lang w:val="en-US"/>
        </w:rPr>
        <w:t>Cuprins</w:t>
      </w:r>
    </w:p>
    <w:sdt>
      <w:sdtPr>
        <w:docPartObj>
          <w:docPartGallery w:val="Table of Contents"/>
          <w:docPartUnique w:val="true"/>
        </w:docPartObj>
      </w:sdtPr>
      <w:sdtContent>
        <w:p>
          <w:pPr>
            <w:pStyle w:val="TOC1"/>
            <w:tabs>
              <w:tab w:val="clear" w:pos="708"/>
              <w:tab w:val="left" w:pos="440" w:leader="none"/>
              <w:tab w:val="right" w:pos="9072" w:leader="dot"/>
            </w:tabs>
            <w:rPr/>
          </w:pPr>
          <w:r>
            <w:fldChar w:fldCharType="begin"/>
          </w:r>
          <w:r>
            <w:rPr>
              <w:webHidden/>
              <w:rStyle w:val="IndexLink"/>
            </w:rPr>
            <w:instrText xml:space="preserve"> TOC \z \o "1-3" \u \h</w:instrText>
          </w:r>
          <w:r>
            <w:rPr>
              <w:webHidden/>
              <w:rStyle w:val="IndexLink"/>
            </w:rPr>
            <w:fldChar w:fldCharType="separate"/>
          </w:r>
          <w:hyperlink w:anchor="__RefHeading___Toc2026_998641587">
            <w:r>
              <w:rPr>
                <w:webHidden/>
                <w:rStyle w:val="IndexLink"/>
              </w:rPr>
              <w:t>1.</w:t>
              <w:tab/>
              <w:t>Scop, domeniu de aplicare și utilizatori</w:t>
              <w:tab/>
              <w:t>3</w:t>
            </w:r>
          </w:hyperlink>
        </w:p>
        <w:p>
          <w:pPr>
            <w:pStyle w:val="TOC1"/>
            <w:tabs>
              <w:tab w:val="clear" w:pos="708"/>
              <w:tab w:val="left" w:pos="440" w:leader="none"/>
              <w:tab w:val="right" w:pos="9072" w:leader="dot"/>
            </w:tabs>
            <w:rPr/>
          </w:pPr>
          <w:hyperlink w:anchor="__RefHeading___Toc2028_998641587">
            <w:r>
              <w:rPr>
                <w:webHidden/>
                <w:rStyle w:val="IndexLink"/>
              </w:rPr>
              <w:t>2.</w:t>
              <w:tab/>
              <w:t>Documente de referință</w:t>
              <w:tab/>
              <w:t>3</w:t>
            </w:r>
          </w:hyperlink>
        </w:p>
        <w:p>
          <w:pPr>
            <w:pStyle w:val="TOC1"/>
            <w:tabs>
              <w:tab w:val="clear" w:pos="708"/>
              <w:tab w:val="left" w:pos="440" w:leader="none"/>
              <w:tab w:val="right" w:pos="9072" w:leader="dot"/>
            </w:tabs>
            <w:rPr/>
          </w:pPr>
          <w:hyperlink w:anchor="__RefHeading___Toc2030_998641587">
            <w:r>
              <w:rPr>
                <w:webHidden/>
                <w:rStyle w:val="IndexLink"/>
              </w:rPr>
              <w:t>3.</w:t>
              <w:tab/>
              <w:t>Definirea domeniului de aplicare al SMSI</w:t>
              <w:tab/>
              <w:t>3</w:t>
            </w:r>
          </w:hyperlink>
        </w:p>
        <w:p>
          <w:pPr>
            <w:pStyle w:val="TOC2"/>
            <w:tabs>
              <w:tab w:val="clear" w:pos="708"/>
              <w:tab w:val="left" w:pos="880" w:leader="none"/>
              <w:tab w:val="right" w:pos="9072" w:leader="dot"/>
            </w:tabs>
            <w:rPr/>
          </w:pPr>
          <w:hyperlink w:anchor="__RefHeading___Toc2032_998641587">
            <w:r>
              <w:rPr>
                <w:webHidden/>
                <w:rStyle w:val="IndexLink"/>
              </w:rPr>
              <w:t>3.1.</w:t>
              <w:tab/>
              <w:t>Procese și servicii</w:t>
              <w:tab/>
              <w:t>4</w:t>
            </w:r>
          </w:hyperlink>
        </w:p>
        <w:p>
          <w:pPr>
            <w:pStyle w:val="TOC2"/>
            <w:tabs>
              <w:tab w:val="clear" w:pos="708"/>
              <w:tab w:val="left" w:pos="880" w:leader="none"/>
              <w:tab w:val="right" w:pos="9072" w:leader="dot"/>
            </w:tabs>
            <w:rPr/>
          </w:pPr>
          <w:hyperlink w:anchor="__RefHeading___Toc2034_998641587">
            <w:r>
              <w:rPr>
                <w:webHidden/>
                <w:rStyle w:val="IndexLink"/>
              </w:rPr>
              <w:t>3.2.</w:t>
              <w:tab/>
              <w:t>Unități organizaționale</w:t>
              <w:tab/>
              <w:t>4</w:t>
            </w:r>
          </w:hyperlink>
        </w:p>
        <w:p>
          <w:pPr>
            <w:pStyle w:val="TOC2"/>
            <w:tabs>
              <w:tab w:val="clear" w:pos="708"/>
              <w:tab w:val="left" w:pos="880" w:leader="none"/>
              <w:tab w:val="right" w:pos="9072" w:leader="dot"/>
            </w:tabs>
            <w:rPr/>
          </w:pPr>
          <w:hyperlink w:anchor="__RefHeading___Toc2036_998641587">
            <w:r>
              <w:rPr>
                <w:webHidden/>
                <w:rStyle w:val="IndexLink"/>
              </w:rPr>
              <w:t>3.3.</w:t>
              <w:tab/>
              <w:t>Locații</w:t>
              <w:tab/>
              <w:t>4</w:t>
            </w:r>
          </w:hyperlink>
        </w:p>
        <w:p>
          <w:pPr>
            <w:pStyle w:val="TOC2"/>
            <w:tabs>
              <w:tab w:val="clear" w:pos="708"/>
              <w:tab w:val="left" w:pos="880" w:leader="none"/>
              <w:tab w:val="right" w:pos="9072" w:leader="dot"/>
            </w:tabs>
            <w:rPr/>
          </w:pPr>
          <w:hyperlink w:anchor="__RefHeading___Toc2038_998641587">
            <w:r>
              <w:rPr>
                <w:webHidden/>
                <w:rStyle w:val="IndexLink"/>
              </w:rPr>
              <w:t>3.4.</w:t>
              <w:tab/>
              <w:t>Rețele și infrastructură IT</w:t>
              <w:tab/>
              <w:t>4</w:t>
            </w:r>
          </w:hyperlink>
        </w:p>
        <w:p>
          <w:pPr>
            <w:pStyle w:val="TOC2"/>
            <w:tabs>
              <w:tab w:val="clear" w:pos="708"/>
              <w:tab w:val="left" w:pos="880" w:leader="none"/>
              <w:tab w:val="right" w:pos="9072" w:leader="dot"/>
            </w:tabs>
            <w:rPr/>
          </w:pPr>
          <w:hyperlink w:anchor="__RefHeading___Toc2040_998641587">
            <w:r>
              <w:rPr>
                <w:webHidden/>
                <w:rStyle w:val="IndexLink"/>
              </w:rPr>
              <w:t>3.5.</w:t>
              <w:tab/>
              <w:t>Excluderi din domeniul de aplicare</w:t>
              <w:tab/>
              <w:t>4</w:t>
            </w:r>
          </w:hyperlink>
        </w:p>
        <w:p>
          <w:pPr>
            <w:pStyle w:val="TOC1"/>
            <w:tabs>
              <w:tab w:val="clear" w:pos="708"/>
              <w:tab w:val="left" w:pos="440" w:leader="none"/>
              <w:tab w:val="right" w:pos="9072" w:leader="dot"/>
            </w:tabs>
            <w:rPr/>
          </w:pPr>
          <w:hyperlink w:anchor="__RefHeading___Toc2042_998641587">
            <w:r>
              <w:rPr>
                <w:webHidden/>
                <w:rStyle w:val="IndexLink"/>
              </w:rPr>
              <w:t>4.</w:t>
              <w:tab/>
              <w:t>Valabilitatea și managementul documentelor</w:t>
              <w:tab/>
              <w:t>5</w:t>
            </w:r>
          </w:hyperlink>
        </w:p>
        <w:p>
          <w:pPr>
            <w:pStyle w:val="TOC1"/>
            <w:tabs>
              <w:tab w:val="clear" w:pos="708"/>
              <w:tab w:val="left" w:pos="440" w:leader="none"/>
              <w:tab w:val="right" w:pos="9072" w:leader="dot"/>
            </w:tabs>
            <w:rPr/>
          </w:pPr>
          <w:hyperlink w:anchor="__RefHeading___Toc2044_998641587">
            <w:r>
              <w:rPr>
                <w:webHidden/>
                <w:rStyle w:val="IndexLink"/>
              </w:rPr>
              <w:t>5.</w:t>
              <w:tab/>
              <w:t>Obiectivele</w:t>
              <w:tab/>
              <w:t>5</w:t>
            </w:r>
          </w:hyperlink>
          <w:r>
            <w:rPr>
              <w:rStyle w:val="IndexLink"/>
            </w:rPr>
            <w:fldChar w:fldCharType="end"/>
          </w:r>
        </w:p>
      </w:sdtContent>
    </w:sdt>
    <w:p>
      <w:pPr>
        <w:pStyle w:val="Normal"/>
        <w:rPr>
          <w:lang w:val="en-US"/>
        </w:rPr>
      </w:pPr>
      <w:r>
        <w:rPr>
          <w:lang w:val="en-US"/>
        </w:rPr>
      </w:r>
    </w:p>
    <w:p>
      <w:pPr>
        <w:pStyle w:val="TOC1"/>
        <w:tabs>
          <w:tab w:val="clear" w:pos="708"/>
          <w:tab w:val="left" w:pos="440" w:leader="none"/>
          <w:tab w:val="right" w:pos="9062" w:leader="dot"/>
        </w:tabs>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spacing w:before="0" w:after="200"/>
        <w:rPr>
          <w:lang w:val="en-US"/>
        </w:rPr>
      </w:pPr>
      <w:bookmarkStart w:id="0" w:name="__RefHeading___Toc2026_998641587"/>
      <w:bookmarkEnd w:id="0"/>
      <w:r>
        <w:rPr>
          <w:lang w:val="en-US"/>
        </w:rPr>
        <w:t>Scop, domeniu de aplicare și utilizatori</w:t>
      </w:r>
    </w:p>
    <w:p>
      <w:pPr>
        <w:pStyle w:val="Normal"/>
        <w:rPr>
          <w:lang w:val="en-US"/>
        </w:rPr>
      </w:pPr>
      <w:r>
        <w:rPr>
          <w:lang w:val="en-US"/>
        </w:rPr>
        <w:t>Scopul acestui document este de a defini clar limitele Sistemului de Management al Securității Informațiilor (ISMS) în CloudSentinel.</w:t>
      </w:r>
    </w:p>
    <w:p>
      <w:pPr>
        <w:pStyle w:val="Normal"/>
        <w:rPr>
          <w:lang w:val="en-US"/>
        </w:rPr>
      </w:pPr>
      <w:r>
        <w:rPr>
          <w:lang w:val="en-US"/>
        </w:rPr>
        <w:t>Acest document se aplică tuturor documentelor și activităților din cadrul ISMS.</w:t>
      </w:r>
    </w:p>
    <w:p>
      <w:pPr>
        <w:pStyle w:val="Normal"/>
        <w:rPr>
          <w:lang w:val="en-US"/>
        </w:rPr>
      </w:pPr>
      <w:r>
        <w:rPr>
          <w:lang w:val="en-US"/>
        </w:rPr>
        <w:t xml:space="preserve">Utilizatorii acestui document sunt membrii managementului CloudSentinel, membrii echipei de proiect care implementează ISMS-ul, precum și Chirita Stanislav și Boboc Sandu, </w:t>
      </w:r>
      <w:r>
        <w:rPr>
          <w:lang w:val="en-US"/>
        </w:rPr>
        <w:t>Chihai Adrian, Vozian Vladimir</w:t>
      </w:r>
      <w:r>
        <w:rPr>
          <w:lang w:val="en-US"/>
        </w:rPr>
        <w:t>.</w:t>
      </w:r>
    </w:p>
    <w:p>
      <w:pPr>
        <w:pStyle w:val="Normal"/>
        <w:rPr>
          <w:lang w:val="en-US"/>
        </w:rPr>
      </w:pPr>
      <w:r>
        <w:rPr>
          <w:lang w:val="en-US"/>
        </w:rPr>
      </w:r>
    </w:p>
    <w:p>
      <w:pPr>
        <w:pStyle w:val="Heading1"/>
        <w:rPr>
          <w:lang w:val="en-US"/>
        </w:rPr>
      </w:pPr>
      <w:bookmarkStart w:id="1" w:name="__RefHeading___Toc2028_998641587"/>
      <w:bookmarkEnd w:id="1"/>
      <w:r>
        <w:rPr>
          <w:lang w:val="en-US"/>
        </w:rPr>
        <w:t>D</w:t>
      </w:r>
      <w:r>
        <w:rPr>
          <w:lang w:val="en-US"/>
        </w:rPr>
        <w:t>ocumente de referință</w:t>
      </w:r>
    </w:p>
    <w:p>
      <w:pPr>
        <w:pStyle w:val="Normal"/>
        <w:numPr>
          <w:ilvl w:val="0"/>
          <w:numId w:val="2"/>
        </w:numPr>
        <w:spacing w:before="0" w:after="0"/>
        <w:rPr>
          <w:lang w:val="en-US"/>
        </w:rPr>
      </w:pPr>
      <w:r>
        <w:rPr>
          <w:lang w:val="en-US"/>
        </w:rPr>
        <w:t>Standardul ISO/IEC 27001, clauza 4.3</w:t>
      </w:r>
    </w:p>
    <w:p>
      <w:pPr>
        <w:pStyle w:val="Normal"/>
        <w:numPr>
          <w:ilvl w:val="0"/>
          <w:numId w:val="2"/>
        </w:numPr>
        <w:spacing w:before="0" w:after="0"/>
        <w:rPr>
          <w:lang w:val="en-US"/>
        </w:rPr>
      </w:pPr>
      <w:r>
        <w:rPr>
          <w:lang w:val="en-US"/>
        </w:rPr>
        <w:t>Planul de Proiect pentru Implementarea ISO 27001</w:t>
      </w:r>
    </w:p>
    <w:p>
      <w:pPr>
        <w:pStyle w:val="Normal"/>
        <w:numPr>
          <w:ilvl w:val="0"/>
          <w:numId w:val="2"/>
        </w:numPr>
        <w:spacing w:before="0" w:after="0"/>
        <w:rPr>
          <w:lang w:val="en-US"/>
        </w:rPr>
      </w:pPr>
      <w:r>
        <w:rPr>
          <w:lang w:val="en-US"/>
        </w:rPr>
        <w:t>Procedura pentru Identificarea Cerințelor</w:t>
      </w:r>
    </w:p>
    <w:p>
      <w:pPr>
        <w:pStyle w:val="Normal"/>
        <w:numPr>
          <w:ilvl w:val="0"/>
          <w:numId w:val="2"/>
        </w:numPr>
        <w:spacing w:before="0" w:after="0"/>
        <w:rPr>
          <w:lang w:val="en-US"/>
        </w:rPr>
      </w:pPr>
      <w:r>
        <w:rPr>
          <w:lang w:val="en-US"/>
        </w:rPr>
        <w:t>Legea nr. 133 din 8 iulie 2011 privind protecția datelor cu caracter personal - Această lege reglementează modul în care datele cu caracter personal trebuie gestionate și protejate. Este crucială pentru orice serviciu de cloud care procesează date cu caracter personal ale rezidenților din Moldova.</w:t>
      </w:r>
    </w:p>
    <w:p>
      <w:pPr>
        <w:pStyle w:val="Normal"/>
        <w:numPr>
          <w:ilvl w:val="0"/>
          <w:numId w:val="2"/>
        </w:numPr>
        <w:spacing w:before="0" w:after="0"/>
        <w:rPr>
          <w:lang w:val="en-US"/>
        </w:rPr>
      </w:pPr>
      <w:r>
        <w:rPr>
          <w:lang w:val="en-US"/>
        </w:rPr>
        <w:t>Legea nr. 71 din 22 martie 2007 privind registrul de stat al actelor juridice - Această lege poate conține informații relevante despre gestionarea documentelor și a înregistrărilor electronice, aspecte importante pentru furnizorii de servicii cloud.</w:t>
      </w:r>
    </w:p>
    <w:p>
      <w:pPr>
        <w:pStyle w:val="Normal"/>
        <w:numPr>
          <w:ilvl w:val="0"/>
          <w:numId w:val="2"/>
        </w:numPr>
        <w:spacing w:before="0" w:after="0"/>
        <w:rPr>
          <w:lang w:val="en-US"/>
        </w:rPr>
      </w:pPr>
      <w:r>
        <w:rPr>
          <w:lang w:val="en-US"/>
        </w:rPr>
        <w:t>Legea nr. 284 din 22 iulie 2004 privind comerțul electronic - Reglementează aspecte legate de comerțul electronic, inclusiv tranzacțiile online și securitatea acestora, fiind relevantă pentru serviciile cloud care susțin activitățile economice online.</w:t>
      </w:r>
    </w:p>
    <w:p>
      <w:pPr>
        <w:pStyle w:val="Heading1"/>
        <w:spacing w:lineRule="auto" w:line="240"/>
        <w:rPr>
          <w:lang w:val="en-US"/>
        </w:rPr>
      </w:pPr>
      <w:bookmarkStart w:id="2" w:name="__RefHeading___Toc2030_998641587"/>
      <w:bookmarkEnd w:id="2"/>
      <w:r>
        <w:rPr>
          <w:lang w:val="en-US"/>
        </w:rPr>
        <w:t>Definirea domeniului de aplicare al SMSI</w:t>
      </w:r>
    </w:p>
    <w:p>
      <w:pPr>
        <w:pStyle w:val="Normal"/>
        <w:rPr>
          <w:lang w:val="en-US"/>
        </w:rPr>
      </w:pPr>
      <w:r>
        <w:rPr>
          <w:lang w:val="en-US"/>
        </w:rPr>
        <w:t>Organizația trebuie să definească limitele ISMS-ului său pentru a decide ce informații dorește să protejeze. Aceste informații vor trebui protejate indiferent dacă sunt stocate, procesate sau transferate în sau în afara domeniului de aplicare al ISMS-ului. Faptul că unele informații sunt disponibile în afara domeniului de aplicare nu înseamnă că măsurile de securitate nu se aplică acestora - acest lucru înseamnă doar că responsabilitatea pentru aplicarea măsurilor de securitate va fi transferată unei terțe părți care gestionează acele informații.</w:t>
      </w:r>
    </w:p>
    <w:p>
      <w:pPr>
        <w:pStyle w:val="Normal"/>
        <w:rPr>
          <w:lang w:val="en-US"/>
        </w:rPr>
      </w:pPr>
      <w:r>
        <w:rPr>
          <w:lang w:val="en-US"/>
        </w:rPr>
        <w:t>Ținând cont de cerințele legale, de reglementare, contractuale și de altă natură, domeniul de aplicare al ISMS este definit astfel cum se specifică în următoarele elemente:</w:t>
      </w:r>
    </w:p>
    <w:p>
      <w:pPr>
        <w:pStyle w:val="Heading2"/>
        <w:rPr>
          <w:lang w:val="en-US"/>
        </w:rPr>
      </w:pPr>
      <w:bookmarkStart w:id="3" w:name="__RefHeading___Toc2032_998641587"/>
      <w:bookmarkEnd w:id="3"/>
      <w:r>
        <w:rPr>
          <w:lang w:val="en-US"/>
        </w:rPr>
        <w:t>P</w:t>
      </w:r>
      <w:r>
        <w:rPr>
          <w:lang w:val="en-US"/>
        </w:rPr>
        <w:t>rocese și servicii</w:t>
      </w:r>
    </w:p>
    <w:p>
      <w:pPr>
        <w:pStyle w:val="BodyText"/>
        <w:numPr>
          <w:ilvl w:val="0"/>
          <w:numId w:val="4"/>
        </w:numPr>
        <w:spacing w:before="0" w:after="0"/>
        <w:rPr/>
      </w:pPr>
      <w:r>
        <w:rPr>
          <w:rStyle w:val="Strong"/>
          <w:b w:val="false"/>
          <w:bCs w:val="false"/>
          <w:lang w:val="en-US"/>
        </w:rPr>
        <w:t>P</w:t>
      </w:r>
      <w:r>
        <w:rPr>
          <w:rStyle w:val="Strong"/>
          <w:b w:val="false"/>
          <w:bCs w:val="false"/>
          <w:lang w:val="en-US"/>
        </w:rPr>
        <w:t>rovisionarea și gestionarea resurselor</w:t>
      </w:r>
    </w:p>
    <w:p>
      <w:pPr>
        <w:pStyle w:val="BodyText"/>
        <w:numPr>
          <w:ilvl w:val="0"/>
          <w:numId w:val="4"/>
        </w:numPr>
        <w:spacing w:before="0" w:after="0"/>
        <w:rPr/>
      </w:pPr>
      <w:r>
        <w:rPr/>
        <w:t>Securitatea și conformitatea</w:t>
      </w:r>
    </w:p>
    <w:p>
      <w:pPr>
        <w:pStyle w:val="BodyText"/>
        <w:numPr>
          <w:ilvl w:val="0"/>
          <w:numId w:val="4"/>
        </w:numPr>
        <w:spacing w:before="0" w:after="0"/>
        <w:rPr/>
      </w:pPr>
      <w:r>
        <w:rPr/>
        <w:t>Monitorizarea și gestionarea performanței</w:t>
      </w:r>
    </w:p>
    <w:p>
      <w:pPr>
        <w:pStyle w:val="BodyText"/>
        <w:numPr>
          <w:ilvl w:val="0"/>
          <w:numId w:val="4"/>
        </w:numPr>
        <w:spacing w:before="0" w:after="0"/>
        <w:rPr/>
      </w:pPr>
      <w:r>
        <w:rPr/>
        <w:t>Suport și asistență tehnică</w:t>
      </w:r>
    </w:p>
    <w:p>
      <w:pPr>
        <w:pStyle w:val="BodyText"/>
        <w:numPr>
          <w:ilvl w:val="0"/>
          <w:numId w:val="4"/>
        </w:numPr>
        <w:spacing w:before="0" w:after="0"/>
        <w:rPr/>
      </w:pPr>
      <w:r>
        <w:rPr/>
        <w:t>Backup și recuperare de date</w:t>
      </w:r>
    </w:p>
    <w:p>
      <w:pPr>
        <w:pStyle w:val="BodyText"/>
        <w:numPr>
          <w:ilvl w:val="0"/>
          <w:numId w:val="4"/>
        </w:numPr>
        <w:spacing w:before="0" w:after="0"/>
        <w:rPr/>
      </w:pPr>
      <w:r>
        <w:rPr/>
        <w:t>Scalabilitate și elasticitate</w:t>
      </w:r>
    </w:p>
    <w:p>
      <w:pPr>
        <w:pStyle w:val="BodyText"/>
        <w:numPr>
          <w:ilvl w:val="0"/>
          <w:numId w:val="4"/>
        </w:numPr>
        <w:spacing w:before="0" w:after="0"/>
        <w:rPr/>
      </w:pPr>
      <w:r>
        <w:rPr/>
        <w:t>Servicii de rețea</w:t>
      </w:r>
    </w:p>
    <w:p>
      <w:pPr>
        <w:pStyle w:val="BodyText"/>
        <w:numPr>
          <w:ilvl w:val="0"/>
          <w:numId w:val="4"/>
        </w:numPr>
        <w:rPr/>
      </w:pPr>
      <w:r>
        <w:rPr/>
        <w:t>Servicii de gestionare a identității și accesului</w:t>
      </w:r>
    </w:p>
    <w:p>
      <w:pPr>
        <w:pStyle w:val="Heading2"/>
        <w:rPr>
          <w:lang w:val="en-US"/>
        </w:rPr>
      </w:pPr>
      <w:bookmarkStart w:id="4" w:name="__RefHeading___Toc2034_998641587"/>
      <w:bookmarkEnd w:id="4"/>
      <w:r>
        <w:rPr>
          <w:lang w:val="en-US"/>
        </w:rPr>
        <w:t>U</w:t>
      </w:r>
      <w:r>
        <w:rPr>
          <w:lang w:val="en-US"/>
        </w:rPr>
        <w:t>nități organizaționale</w:t>
      </w:r>
    </w:p>
    <w:p>
      <w:pPr>
        <w:pStyle w:val="Normal"/>
        <w:rPr>
          <w:rStyle w:val="Strong"/>
          <w:lang w:val="en-US"/>
        </w:rPr>
      </w:pPr>
      <w:r>
        <w:rPr>
          <w:rStyle w:val="Strong"/>
          <w:b w:val="false"/>
          <w:bCs w:val="false"/>
          <w:lang w:val="en-US"/>
        </w:rPr>
        <w:tab/>
        <w:t>Organizational units pentru cloud trebuie să fie clar definite și structurate pentru a asigura o gestionare eficientă a resurselor și a proceselor din cadrul infrastructurii cloud. Aceste unități organizaționale pot fi responsabile de diferite aspecte, cum ar fi gestionarea resurselor, securitatea informațiilor, suportul tehnic, conformitatea și administrarea relațiilor cu clienții. Prin organizarea corespunzătoare a acestor unități, se asigură că fiecare aspect al infrastructurii cloud este gestionat și monitorizat în mod eficient și că cerințele clienților sunt îndeplinite în mod corespunzător.</w:t>
      </w:r>
    </w:p>
    <w:p>
      <w:pPr>
        <w:pStyle w:val="Heading2"/>
        <w:rPr>
          <w:lang w:val="en-US"/>
        </w:rPr>
      </w:pPr>
      <w:bookmarkStart w:id="5" w:name="__RefHeading___Toc2036_998641587"/>
      <w:bookmarkEnd w:id="5"/>
      <w:r>
        <w:rPr>
          <w:lang w:val="en-US"/>
        </w:rPr>
        <w:t>L</w:t>
      </w:r>
      <w:r>
        <w:rPr>
          <w:lang w:val="en-US"/>
        </w:rPr>
        <w:t>ocații</w:t>
      </w:r>
    </w:p>
    <w:p>
      <w:pPr>
        <w:pStyle w:val="Normal"/>
        <w:rPr/>
      </w:pPr>
      <w:r>
        <w:rPr>
          <w:rStyle w:val="Strong"/>
          <w:b w:val="false"/>
          <w:bCs w:val="false"/>
          <w:lang w:val="en-US"/>
        </w:rPr>
        <w:t>Sediu, Centre de Date, Spatii de Lucru la Distanta, Locatii Utilizatori.</w:t>
      </w:r>
    </w:p>
    <w:p>
      <w:pPr>
        <w:pStyle w:val="Heading2"/>
        <w:rPr>
          <w:lang w:val="en-US"/>
        </w:rPr>
      </w:pPr>
      <w:bookmarkStart w:id="6" w:name="__RefHeading___Toc2038_998641587"/>
      <w:bookmarkEnd w:id="6"/>
      <w:r>
        <w:rPr>
          <w:lang w:val="en-US"/>
        </w:rPr>
        <w:t>Rețele și infrastructură IT</w:t>
      </w:r>
    </w:p>
    <w:p>
      <w:pPr>
        <w:pStyle w:val="Normal"/>
        <w:rPr/>
      </w:pPr>
      <w:r>
        <w:rPr>
          <w:rStyle w:val="Strong"/>
          <w:b w:val="false"/>
          <w:bCs w:val="false"/>
          <w:lang w:val="en-US"/>
        </w:rPr>
        <w:t>Rețea Internă, Rețea de Producție, Rețea de Dezvoltare și Testare, Suport Clienți Networ</w:t>
      </w:r>
    </w:p>
    <w:p>
      <w:pPr>
        <w:pStyle w:val="Heading2"/>
        <w:rPr>
          <w:lang w:val="en-US"/>
        </w:rPr>
      </w:pPr>
      <w:bookmarkStart w:id="7" w:name="__RefHeading___Toc2040_998641587"/>
      <w:bookmarkEnd w:id="7"/>
      <w:r>
        <w:rPr>
          <w:lang w:val="en-US"/>
        </w:rPr>
        <w:t>Excluderi din domeniul de aplicare</w:t>
      </w:r>
    </w:p>
    <w:p>
      <w:pPr>
        <w:pStyle w:val="Normal"/>
        <w:rPr>
          <w:lang w:val="en-US"/>
        </w:rPr>
      </w:pPr>
      <w:r>
        <w:rPr>
          <w:lang w:val="en-US"/>
        </w:rPr>
        <w:t>Următoarele nu sunt incluse în domeniul de aplicare: Servicii terțe, Dispozitive deținute de Utilizator, Măsuri de Securitate Fizică.</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rPr>
          <w:lang w:val="en-US"/>
        </w:rPr>
      </w:pPr>
      <w:bookmarkStart w:id="8" w:name="__RefHeading___Toc2042_998641587"/>
      <w:bookmarkEnd w:id="8"/>
      <w:r>
        <w:rPr>
          <w:lang w:val="en-US"/>
        </w:rPr>
        <w:t>Valabilitatea și managementul documentelor</w:t>
      </w:r>
    </w:p>
    <w:p>
      <w:pPr>
        <w:pStyle w:val="Normal"/>
        <w:rPr>
          <w:lang w:val="en-US"/>
        </w:rPr>
      </w:pPr>
      <w:r>
        <w:rPr>
          <w:lang w:val="en-US"/>
        </w:rPr>
        <w:t>Acest document este valabil începând cu 2025-04-05.</w:t>
      </w:r>
    </w:p>
    <w:p>
      <w:pPr>
        <w:pStyle w:val="Normal"/>
        <w:rPr>
          <w:lang w:val="en-US"/>
        </w:rPr>
      </w:pPr>
      <w:r>
        <w:rPr>
          <w:lang w:val="en-US"/>
        </w:rPr>
        <w:t xml:space="preserve">Proprietarul acestui document este </w:t>
      </w:r>
      <w:r>
        <w:rPr>
          <w:lang w:val="en-US"/>
        </w:rPr>
        <w:t>Boboc Sandu</w:t>
      </w:r>
      <w:r>
        <w:rPr>
          <w:lang w:val="en-US"/>
        </w:rPr>
        <w:t xml:space="preserve">, care trebuie să verifice și, dacă este necesar, să actualizeze documentul cel puțin o dată pe an. </w:t>
      </w:r>
    </w:p>
    <w:p>
      <w:pPr>
        <w:pStyle w:val="Normal"/>
        <w:rPr>
          <w:lang w:val="en-US"/>
        </w:rPr>
      </w:pPr>
      <w:r>
        <w:rPr>
          <w:lang w:val="en-US"/>
        </w:rPr>
        <w:t>Excepții de la actualizare: În cazul unor evenimente semnificative, cum ar fi atacurile malware sau dezastrele naturale, cum ar fi cutremurele, este necesar să se revizuiască și să se actualizeze imediat documentul pentru a aborda orice modificare a profilului de risc și pentru a integra noi măsuri de securitate.</w:t>
      </w:r>
    </w:p>
    <w:p>
      <w:pPr>
        <w:pStyle w:val="Heading1"/>
        <w:rPr>
          <w:lang w:val="en-US"/>
        </w:rPr>
      </w:pPr>
      <w:bookmarkStart w:id="9" w:name="__RefHeading___Toc2044_998641587"/>
      <w:bookmarkEnd w:id="9"/>
      <w:r>
        <w:rPr>
          <w:lang w:val="en-US"/>
        </w:rPr>
        <w:t>O</w:t>
      </w:r>
      <w:r>
        <w:rPr>
          <w:lang w:val="en-US"/>
        </w:rPr>
        <w:t>biectivele</w:t>
      </w:r>
    </w:p>
    <w:p>
      <w:pPr>
        <w:pStyle w:val="ListParagraph"/>
        <w:numPr>
          <w:ilvl w:val="0"/>
          <w:numId w:val="3"/>
        </w:numPr>
        <w:rPr>
          <w:rFonts w:ascii="Calibri" w:hAnsi="Calibri" w:cs="Calibri" w:asciiTheme="minorHAnsi" w:cstheme="minorHAnsi" w:hAnsiTheme="minorHAnsi"/>
          <w:lang w:val="en-US"/>
        </w:rPr>
      </w:pPr>
      <w:r>
        <w:rPr>
          <w:rFonts w:cs="Calibri" w:cstheme="minorHAnsi"/>
          <w:lang w:val="en-US"/>
        </w:rPr>
        <w:t xml:space="preserve"> </w:t>
      </w:r>
      <w:r>
        <w:rPr>
          <w:rFonts w:cs="Calibri" w:cstheme="minorHAnsi"/>
          <w:lang w:val="en-US"/>
        </w:rPr>
        <w:t>Asigurarea confidențialității datelor: Protejarea datelor împotriva accesului neautorizat prin implementarea controlului accesului, criptarea datelor în repaus și în tranzit și alte măsuri de securitate.</w:t>
      </w:r>
    </w:p>
    <w:p>
      <w:pPr>
        <w:pStyle w:val="ListParagraph"/>
        <w:numPr>
          <w:ilvl w:val="0"/>
          <w:numId w:val="3"/>
        </w:numPr>
        <w:rPr>
          <w:rFonts w:ascii="Calibri" w:hAnsi="Calibri" w:cs="Calibri" w:asciiTheme="minorHAnsi" w:cstheme="minorHAnsi" w:hAnsiTheme="minorHAnsi"/>
          <w:lang w:val="en-US"/>
        </w:rPr>
      </w:pPr>
      <w:r>
        <w:rPr>
          <w:rFonts w:cs="Calibri" w:cstheme="minorHAnsi"/>
          <w:lang w:val="en-US"/>
        </w:rPr>
        <w:t>Integritatea datelor: Asigurarea faptului că datele nu sunt modificate. Punerea în aplicare a sumelor de control, a asemănărilor digitale și a auditurilor periodice sunt esențiale pentru menținerea integrității datelor.</w:t>
      </w:r>
    </w:p>
    <w:p>
      <w:pPr>
        <w:pStyle w:val="ListParagraph"/>
        <w:numPr>
          <w:ilvl w:val="0"/>
          <w:numId w:val="3"/>
        </w:numPr>
        <w:rPr>
          <w:rFonts w:ascii="Calibri" w:hAnsi="Calibri" w:cs="Calibri" w:asciiTheme="minorHAnsi" w:cstheme="minorHAnsi" w:hAnsiTheme="minorHAnsi"/>
          <w:lang w:val="en-US"/>
        </w:rPr>
      </w:pPr>
      <w:r>
        <w:rPr>
          <w:rFonts w:cs="Calibri" w:cstheme="minorHAnsi"/>
          <w:lang w:val="en-US"/>
        </w:rPr>
        <w:t>Disponibilitatea serviciilor: Asigurarea faptului că serviciile și datele cloud sunt disponibile utilizatorilor atunci când sunt necesare. Aceasta include implementarea de soluții de rezervă, redundanța sistemului și planuri robuste de continuitate a afacerii și de recuperare în caz de dezastru.</w:t>
      </w:r>
    </w:p>
    <w:p>
      <w:pPr>
        <w:pStyle w:val="ListParagraph"/>
        <w:numPr>
          <w:ilvl w:val="0"/>
          <w:numId w:val="3"/>
        </w:numPr>
        <w:rPr>
          <w:rFonts w:ascii="Calibri" w:hAnsi="Calibri" w:cs="Calibri" w:asciiTheme="minorHAnsi" w:cstheme="minorHAnsi" w:hAnsiTheme="minorHAnsi"/>
          <w:lang w:val="en-US"/>
        </w:rPr>
      </w:pPr>
      <w:r>
        <w:rPr>
          <w:rFonts w:cs="Calibri" w:cstheme="minorHAnsi"/>
          <w:lang w:val="en-US"/>
        </w:rPr>
        <w:t>Gestionarea riscurilor: Identificarea, evaluarea și atenuarea riscurilor de securitate a informațiilor într-un mediu cloud. Aceasta poate include evaluări periodice ale riscurilor și aplicarea unor măsuri de control adecvate pentru a limita riscurile la un nivel acceptabil.</w:t>
      </w:r>
    </w:p>
    <w:p>
      <w:pPr>
        <w:pStyle w:val="ListParagraph"/>
        <w:numPr>
          <w:ilvl w:val="0"/>
          <w:numId w:val="3"/>
        </w:numPr>
        <w:rPr>
          <w:rFonts w:ascii="Calibri" w:hAnsi="Calibri" w:cs="Calibri" w:asciiTheme="minorHAnsi" w:cstheme="minorHAnsi" w:hAnsiTheme="minorHAnsi"/>
          <w:lang w:val="en-US"/>
        </w:rPr>
      </w:pPr>
      <w:r>
        <w:rPr>
          <w:rFonts w:cs="Calibri" w:cstheme="minorHAnsi"/>
          <w:lang w:val="en-US"/>
        </w:rPr>
        <w:t>Respectarea reglementărilor: Asigurarea faptului că serviciul cloud respectă legile și reglementările relevante privind protecția datelor, cum ar fi GDPR în Europa. Aceasta include politici și proceduri de punere în aplicare care susțin conformitatea.</w:t>
      </w:r>
    </w:p>
    <w:p>
      <w:pPr>
        <w:pStyle w:val="Normal"/>
        <w:spacing w:before="0" w:after="0"/>
        <w:rPr>
          <w:lang w:val="en-US"/>
        </w:rPr>
      </w:pPr>
      <w:r>
        <w:rPr>
          <w:lang w:val="en-US"/>
        </w:rPr>
      </w:r>
    </w:p>
    <w:p>
      <w:pPr>
        <w:pStyle w:val="Normal"/>
        <w:spacing w:before="0" w:after="0"/>
        <w:rPr>
          <w:lang w:val="en-US"/>
        </w:rPr>
      </w:pPr>
      <w:r>
        <w:rPr>
          <w:lang w:val="en-US"/>
        </w:rPr>
        <w:t>Co-founders</w:t>
      </w:r>
    </w:p>
    <w:p>
      <w:pPr>
        <w:pStyle w:val="Normal"/>
        <w:spacing w:before="0" w:after="0"/>
        <w:rPr>
          <w:lang w:val="en-US"/>
        </w:rPr>
      </w:pPr>
      <w:r>
        <w:rPr>
          <w:shd w:fill="auto" w:val="clear"/>
          <w:lang w:val="en-US"/>
        </w:rPr>
        <w:t xml:space="preserve">Boboc Sandu </w:t>
      </w:r>
    </w:p>
    <w:p>
      <w:pPr>
        <w:pStyle w:val="Normal"/>
        <w:spacing w:before="0" w:after="0"/>
        <w:rPr>
          <w:lang w:val="en-US"/>
        </w:rPr>
      </w:pPr>
      <w:r>
        <w:rPr>
          <w:lang w:val="en-US"/>
        </w:rPr>
      </w:r>
    </w:p>
    <w:p>
      <w:pPr>
        <w:pStyle w:val="Normal"/>
        <w:spacing w:before="0" w:after="0"/>
        <w:rPr>
          <w:lang w:val="en-US"/>
        </w:rPr>
      </w:pPr>
      <w:r>
        <w:rPr>
          <w:shd w:fill="auto" w:val="clear"/>
          <w:lang w:val="en-US"/>
        </w:rPr>
        <w:t>__________________</w:t>
      </w:r>
    </w:p>
    <w:p>
      <w:pPr>
        <w:pStyle w:val="Normal"/>
        <w:spacing w:before="0" w:after="0"/>
        <w:rPr>
          <w:lang w:val="en-US"/>
        </w:rPr>
      </w:pPr>
      <w:r>
        <w:rPr>
          <w:shd w:fill="auto" w:val="clear"/>
          <w:lang w:val="en-US"/>
        </w:rPr>
        <w:t>Semnătura</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708" w:top="1417" w:footer="708" w:bottom="141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06"/>
      <w:gridCol w:w="2131"/>
      <w:gridCol w:w="3685"/>
    </w:tblGrid>
    <w:tr>
      <w:trPr/>
      <w:tc>
        <w:tcPr>
          <w:tcW w:w="3506" w:type="dxa"/>
          <w:tcBorders>
            <w:top w:val="single" w:sz="4" w:space="0" w:color="000000"/>
          </w:tcBorders>
        </w:tcPr>
        <w:p>
          <w:pPr>
            <w:pStyle w:val="Footer"/>
            <w:spacing w:before="0" w:after="200"/>
            <w:rPr>
              <w:sz w:val="18"/>
              <w:szCs w:val="18"/>
            </w:rPr>
          </w:pPr>
          <w:r>
            <w:rPr>
              <w:sz w:val="18"/>
            </w:rPr>
            <w:t xml:space="preserve">Documentul </w:t>
          </w:r>
          <w:r>
            <w:rPr>
              <w:sz w:val="18"/>
            </w:rPr>
            <w:t xml:space="preserve">ISMS </w:t>
          </w:r>
          <w:r>
            <w:rPr>
              <w:sz w:val="18"/>
            </w:rPr>
            <w:t>Scope</w:t>
          </w:r>
          <w:r>
            <w:rPr>
              <w:sz w:val="18"/>
            </w:rPr>
            <w:t xml:space="preserve"> </w:t>
          </w:r>
        </w:p>
      </w:tc>
      <w:tc>
        <w:tcPr>
          <w:tcW w:w="2131" w:type="dxa"/>
          <w:tcBorders>
            <w:top w:val="single" w:sz="4" w:space="0" w:color="000000"/>
          </w:tcBorders>
        </w:tcPr>
        <w:p>
          <w:pPr>
            <w:pStyle w:val="Footer"/>
            <w:spacing w:before="0" w:after="200"/>
            <w:jc w:val="center"/>
            <w:rPr>
              <w:sz w:val="18"/>
              <w:szCs w:val="18"/>
            </w:rPr>
          </w:pPr>
          <w:r>
            <w:rPr>
              <w:sz w:val="18"/>
            </w:rPr>
            <w:t>Ver 0.4.</w:t>
          </w:r>
          <w:r>
            <w:rPr>
              <w:sz w:val="18"/>
            </w:rPr>
            <w:t>1a</w:t>
          </w:r>
          <w:r>
            <w:rPr>
              <w:sz w:val="18"/>
            </w:rPr>
            <w:t xml:space="preserve"> din 2024-04-02</w:t>
          </w:r>
        </w:p>
      </w:tc>
      <w:tc>
        <w:tcPr>
          <w:tcW w:w="3685" w:type="dxa"/>
          <w:tcBorders>
            <w:top w:val="single" w:sz="4" w:space="0" w:color="000000"/>
          </w:tcBorders>
        </w:tcPr>
        <w:p>
          <w:pPr>
            <w:pStyle w:val="Footer"/>
            <w:spacing w:before="0" w:after="200"/>
            <w:jc w:val="right"/>
            <w:rPr>
              <w:b/>
              <w:sz w:val="18"/>
              <w:szCs w:val="18"/>
            </w:rPr>
          </w:pPr>
          <w:r>
            <w:rPr>
              <w:sz w:val="18"/>
            </w:rPr>
            <w:t xml:space="preserve">Page </w:t>
          </w:r>
          <w:r>
            <w:rPr>
              <w:b/>
              <w:sz w:val="18"/>
            </w:rPr>
            <w:fldChar w:fldCharType="begin"/>
          </w:r>
          <w:r>
            <w:rPr>
              <w:sz w:val="18"/>
              <w:b/>
            </w:rPr>
            <w:instrText xml:space="preserve"> PAGE </w:instrText>
          </w:r>
          <w:r>
            <w:rPr>
              <w:sz w:val="18"/>
              <w:b/>
            </w:rPr>
            <w:fldChar w:fldCharType="separate"/>
          </w:r>
          <w:r>
            <w:rPr>
              <w:sz w:val="18"/>
              <w:b/>
            </w:rPr>
            <w:t>5</w:t>
          </w:r>
          <w:r>
            <w:rPr>
              <w:sz w:val="18"/>
              <w:b/>
            </w:rPr>
            <w:fldChar w:fldCharType="end"/>
          </w:r>
          <w:r>
            <w:rPr>
              <w:sz w:val="18"/>
            </w:rPr>
            <w:t xml:space="preserve"> of </w:t>
          </w:r>
          <w:r>
            <w:rPr>
              <w:b/>
              <w:sz w:val="18"/>
            </w:rPr>
            <w:fldChar w:fldCharType="begin"/>
          </w:r>
          <w:r>
            <w:rPr>
              <w:sz w:val="18"/>
              <w:b/>
            </w:rPr>
            <w:instrText xml:space="preserve"> NUMPAGES </w:instrText>
          </w:r>
          <w:r>
            <w:rPr>
              <w:sz w:val="18"/>
              <w:b/>
            </w:rPr>
            <w:fldChar w:fldCharType="separate"/>
          </w:r>
          <w:r>
            <w:rPr>
              <w:sz w:val="18"/>
              <w:b/>
            </w:rPr>
            <w:t>5</w:t>
          </w:r>
          <w:r>
            <w:rPr>
              <w:sz w:val="18"/>
              <w:b/>
            </w:rPr>
            <w:fldChar w:fldCharType="end"/>
          </w:r>
        </w:p>
      </w:tc>
    </w:tr>
  </w:tbl>
  <w:p>
    <w:pPr>
      <w:pStyle w:val="Normal"/>
      <w:spacing w:before="0" w:after="0"/>
      <w:jc w:val="center"/>
      <w:rPr>
        <w:sz w:val="16"/>
        <w:szCs w:val="16"/>
      </w:rPr>
    </w:pPr>
    <w:r>
      <w:rPr>
        <w:sz w:val="16"/>
      </w:rPr>
      <w:t xml:space="preserve">©2024 Acest șablon poate fi utilizat de către clienții CloudSentinel în conformitate cu Acordul de Licență. </w:t>
    </w:r>
    <w:r>
      <w:rPr>
        <w:rStyle w:val="Hyperlink"/>
        <w:sz w:val="16"/>
      </w:rPr>
      <w:t>www.cloudsentinel.com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sz w:val="16"/>
        <w:szCs w:val="16"/>
      </w:rPr>
    </w:pPr>
    <w:r>
      <w:rPr>
        <w:sz w:val="16"/>
      </w:rPr>
      <w:t xml:space="preserve">©2024 Acest șablon poate fi utilizat de către clienții CloudSentinel în conformitate cu Acordul de Licență. </w:t>
    </w:r>
    <w:r>
      <w:rPr>
        <w:rStyle w:val="Hyperlink"/>
        <w:sz w:val="16"/>
      </w:rPr>
      <w:t>www.cloudsentinel.com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70"/>
      <w:gridCol w:w="2517"/>
    </w:tblGrid>
    <w:tr>
      <w:trPr/>
      <w:tc>
        <w:tcPr>
          <w:tcW w:w="6770" w:type="dxa"/>
          <w:tcBorders>
            <w:bottom w:val="single" w:sz="4" w:space="0" w:color="000000"/>
          </w:tcBorders>
        </w:tcPr>
        <w:p>
          <w:pPr>
            <w:pStyle w:val="Header"/>
            <w:spacing w:before="0" w:after="0"/>
            <w:rPr>
              <w:sz w:val="20"/>
              <w:szCs w:val="20"/>
            </w:rPr>
          </w:pPr>
          <w:r>
            <w:rPr>
              <w:sz w:val="20"/>
              <w:szCs w:val="20"/>
            </w:rPr>
            <w:t>CloudSentinel</w:t>
          </w:r>
        </w:p>
      </w:tc>
      <w:tc>
        <w:tcPr>
          <w:tcW w:w="2517" w:type="dxa"/>
          <w:tcBorders>
            <w:bottom w:val="single" w:sz="4" w:space="0" w:color="000000"/>
          </w:tcBorders>
        </w:tcPr>
        <w:p>
          <w:pPr>
            <w:pStyle w:val="Header"/>
            <w:spacing w:before="0" w:after="0"/>
            <w:jc w:val="center"/>
            <w:rPr>
              <w:sz w:val="22"/>
              <w:szCs w:val="22"/>
            </w:rPr>
          </w:pPr>
          <w:r>
            <w:rPr>
              <w:sz w:val="22"/>
              <w:szCs w:val="22"/>
              <w:lang w:val="en-US"/>
            </w:rPr>
            <w:t>Confidențial</w:t>
          </w:r>
        </w:p>
      </w:tc>
    </w:tr>
  </w:tbl>
  <w:p>
    <w:pPr>
      <w:pStyle w:val="Header"/>
      <w:spacing w:before="0" w:after="0"/>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isLgl/>
      <w:numFmt w:val="decimal"/>
      <w:lvlText w:val="%1.%2."/>
      <w:lvlJc w:val="left"/>
      <w:pPr>
        <w:tabs>
          <w:tab w:val="num" w:pos="0"/>
        </w:tabs>
        <w:ind w:left="360" w:hanging="360"/>
      </w:pPr>
      <w:rPr/>
    </w:lvl>
    <w:lvl w:ilvl="2">
      <w:start w:val="1"/>
      <w:pStyle w:val="Heading3"/>
      <w:isLgl/>
      <w:numFmt w:val="decimal"/>
      <w:lvlText w:val="%1.%2.%3."/>
      <w:lvlJc w:val="left"/>
      <w:pPr>
        <w:tabs>
          <w:tab w:val="num" w:pos="0"/>
        </w:tabs>
        <w:ind w:left="720" w:hanging="720"/>
      </w:pPr>
      <w:rPr/>
    </w:lvl>
    <w:lvl w:ilvl="3">
      <w:start w:val="1"/>
      <w:isLgl/>
      <w:numFmt w:val="decimal"/>
      <w:lvlText w:val="%1.%2.%3.%4."/>
      <w:lvlJc w:val="left"/>
      <w:pPr>
        <w:tabs>
          <w:tab w:val="num" w:pos="0"/>
        </w:tabs>
        <w:ind w:left="720" w:hanging="720"/>
      </w:pPr>
      <w:rPr/>
    </w:lvl>
    <w:lvl w:ilvl="4">
      <w:start w:val="1"/>
      <w:isLgl/>
      <w:numFmt w:val="decimal"/>
      <w:lvlText w:val="%1.%2.%3.%4.%5."/>
      <w:lvlJc w:val="left"/>
      <w:pPr>
        <w:tabs>
          <w:tab w:val="num" w:pos="0"/>
        </w:tabs>
        <w:ind w:left="1080" w:hanging="1080"/>
      </w:pPr>
      <w:rPr/>
    </w:lvl>
    <w:lvl w:ilvl="5">
      <w:start w:val="1"/>
      <w:isLgl/>
      <w:numFmt w:val="decimal"/>
      <w:lvlText w:val="%1.%2.%3.%4.%5.%6."/>
      <w:lvlJc w:val="left"/>
      <w:pPr>
        <w:tabs>
          <w:tab w:val="num" w:pos="0"/>
        </w:tabs>
        <w:ind w:left="1080" w:hanging="1080"/>
      </w:pPr>
      <w:rPr/>
    </w:lvl>
    <w:lvl w:ilvl="6">
      <w:start w:val="1"/>
      <w:isLgl/>
      <w:numFmt w:val="decimal"/>
      <w:lvlText w:val="%1.%2.%3.%4.%5.%6.%7."/>
      <w:lvlJc w:val="left"/>
      <w:pPr>
        <w:tabs>
          <w:tab w:val="num" w:pos="0"/>
        </w:tabs>
        <w:ind w:left="1440" w:hanging="1440"/>
      </w:pPr>
      <w:rPr/>
    </w:lvl>
    <w:lvl w:ilvl="7">
      <w:start w:val="1"/>
      <w:isLgl/>
      <w:numFmt w:val="decimal"/>
      <w:lvlText w:val="%1.%2.%3.%4.%5.%6.%7.%8."/>
      <w:lvlJc w:val="left"/>
      <w:pPr>
        <w:tabs>
          <w:tab w:val="num" w:pos="0"/>
        </w:tabs>
        <w:ind w:left="1440" w:hanging="1440"/>
      </w:pPr>
      <w:rPr/>
    </w:lvl>
    <w:lvl w:ilvl="8">
      <w:start w:val="1"/>
      <w:isLgl/>
      <w:numFmt w:val="decimal"/>
      <w:lvlText w:val="%1.%2.%3.%4.%5.%6.%7.%8.%9."/>
      <w:lvlJc w:val="left"/>
      <w:pPr>
        <w:tabs>
          <w:tab w:val="num" w:pos="0"/>
        </w:tabs>
        <w:ind w:left="180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2"/>
    <w:compatSetting w:name="useWord2013TrackBottomHyphenation"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hr-HR" w:eastAsia="hr-H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3a47"/>
    <w:pPr>
      <w:widowControl/>
      <w:suppressAutoHyphens w:val="true"/>
      <w:bidi w:val="0"/>
      <w:spacing w:lineRule="auto" w:line="276" w:before="0" w:after="200"/>
      <w:jc w:val="left"/>
    </w:pPr>
    <w:rPr>
      <w:rFonts w:ascii="Calibri" w:hAnsi="Calibri" w:eastAsia="Calibri" w:cs="Times New Roman"/>
      <w:color w:val="auto"/>
      <w:kern w:val="0"/>
      <w:sz w:val="22"/>
      <w:szCs w:val="22"/>
      <w:lang w:val="en-GB" w:eastAsia="en-US" w:bidi="ar-SA"/>
    </w:rPr>
  </w:style>
  <w:style w:type="paragraph" w:styleId="Heading1">
    <w:name w:val="Heading 1"/>
    <w:basedOn w:val="Normal"/>
    <w:next w:val="Normal"/>
    <w:link w:val="1"/>
    <w:uiPriority w:val="9"/>
    <w:qFormat/>
    <w:rsid w:val="00db37f7"/>
    <w:pPr>
      <w:numPr>
        <w:ilvl w:val="0"/>
        <w:numId w:val="1"/>
      </w:numPr>
      <w:outlineLvl w:val="0"/>
    </w:pPr>
    <w:rPr>
      <w:b/>
      <w:sz w:val="28"/>
      <w:szCs w:val="28"/>
    </w:rPr>
  </w:style>
  <w:style w:type="paragraph" w:styleId="Heading2">
    <w:name w:val="Heading 2"/>
    <w:basedOn w:val="Normal"/>
    <w:next w:val="Normal"/>
    <w:link w:val="2"/>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3"/>
    <w:uiPriority w:val="9"/>
    <w:unhideWhenUsed/>
    <w:qFormat/>
    <w:rsid w:val="00c73ce6"/>
    <w:pPr>
      <w:numPr>
        <w:ilvl w:val="2"/>
        <w:numId w:val="1"/>
      </w:numPr>
      <w:outlineLvl w:val="2"/>
    </w:pPr>
    <w:rPr>
      <w:b/>
      <w:i/>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link w:val="Header"/>
    <w:uiPriority w:val="99"/>
    <w:qFormat/>
    <w:rsid w:val="00f961e0"/>
    <w:rPr>
      <w:sz w:val="22"/>
      <w:szCs w:val="22"/>
      <w:lang w:val="en-GB" w:eastAsia="en-US"/>
    </w:rPr>
  </w:style>
  <w:style w:type="character" w:styleId="Style12" w:customStyle="1">
    <w:name w:val="Нижний колонтитул Знак"/>
    <w:basedOn w:val="DefaultParagraphFont"/>
    <w:link w:val="Footer"/>
    <w:uiPriority w:val="99"/>
    <w:qFormat/>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styleId="1" w:customStyle="1">
    <w:name w:val="Заголовок 1 Знак"/>
    <w:basedOn w:val="DefaultParagraphFont"/>
    <w:link w:val="Heading1"/>
    <w:uiPriority w:val="9"/>
    <w:qFormat/>
    <w:rsid w:val="00db37f7"/>
    <w:rPr>
      <w:b/>
      <w:sz w:val="28"/>
      <w:szCs w:val="28"/>
      <w:lang w:val="en-GB" w:eastAsia="en-US"/>
    </w:rPr>
  </w:style>
  <w:style w:type="character" w:styleId="Annotationreference">
    <w:name w:val="annotation reference"/>
    <w:basedOn w:val="DefaultParagraphFont"/>
    <w:uiPriority w:val="99"/>
    <w:semiHidden/>
    <w:unhideWhenUsed/>
    <w:qFormat/>
    <w:rsid w:val="00903ed2"/>
    <w:rPr>
      <w:sz w:val="16"/>
      <w:szCs w:val="16"/>
      <w:lang w:val="en-GB"/>
    </w:rPr>
  </w:style>
  <w:style w:type="character" w:styleId="Style13" w:customStyle="1">
    <w:name w:val="Текст примечания Знак"/>
    <w:basedOn w:val="DefaultParagraphFont"/>
    <w:link w:val="Annotationtext"/>
    <w:uiPriority w:val="99"/>
    <w:qFormat/>
    <w:rsid w:val="00903ed2"/>
    <w:rPr>
      <w:lang w:val="en-GB" w:eastAsia="en-US"/>
    </w:rPr>
  </w:style>
  <w:style w:type="character" w:styleId="Style14" w:customStyle="1">
    <w:name w:val="Тема примечания Знак"/>
    <w:basedOn w:val="Style13"/>
    <w:link w:val="Annotationsubject"/>
    <w:uiPriority w:val="99"/>
    <w:semiHidden/>
    <w:qFormat/>
    <w:rsid w:val="00903ed2"/>
    <w:rPr>
      <w:b/>
      <w:bCs/>
      <w:lang w:val="en-GB" w:eastAsia="en-US"/>
    </w:rPr>
  </w:style>
  <w:style w:type="character" w:styleId="Style15" w:customStyle="1">
    <w:name w:val="Текст выноски Знак"/>
    <w:basedOn w:val="DefaultParagraphFont"/>
    <w:link w:val="BalloonText"/>
    <w:uiPriority w:val="99"/>
    <w:semiHidden/>
    <w:qFormat/>
    <w:rsid w:val="00903ed2"/>
    <w:rPr>
      <w:rFonts w:ascii="Tahoma" w:hAnsi="Tahoma" w:cs="Tahoma"/>
      <w:sz w:val="16"/>
      <w:szCs w:val="16"/>
      <w:lang w:val="en-GB" w:eastAsia="en-US"/>
    </w:rPr>
  </w:style>
  <w:style w:type="character" w:styleId="2" w:customStyle="1">
    <w:name w:val="Заголовок 2 Знак"/>
    <w:basedOn w:val="DefaultParagraphFont"/>
    <w:link w:val="Heading2"/>
    <w:uiPriority w:val="9"/>
    <w:qFormat/>
    <w:rsid w:val="00ef7719"/>
    <w:rPr>
      <w:b/>
      <w:sz w:val="24"/>
      <w:szCs w:val="24"/>
      <w:lang w:val="en-GB" w:eastAsia="en-US"/>
    </w:rPr>
  </w:style>
  <w:style w:type="character" w:styleId="3" w:customStyle="1">
    <w:name w:val="Заголовок 3 Знак"/>
    <w:basedOn w:val="DefaultParagraphFont"/>
    <w:link w:val="Heading3"/>
    <w:uiPriority w:val="9"/>
    <w:qFormat/>
    <w:rsid w:val="00c73ce6"/>
    <w:rPr>
      <w:b/>
      <w:i/>
      <w:sz w:val="22"/>
      <w:szCs w:val="22"/>
      <w:lang w:val="en-GB" w:eastAsia="en-US"/>
    </w:rPr>
  </w:style>
  <w:style w:type="character" w:styleId="IndexLink" w:customStyle="1">
    <w:name w:val="Index Link"/>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FreeSans"/>
    </w:rPr>
  </w:style>
  <w:style w:type="paragraph" w:styleId="Caption1">
    <w:name w:val="caption1"/>
    <w:basedOn w:val="Normal"/>
    <w:qFormat/>
    <w:pPr>
      <w:suppressLineNumbers/>
      <w:spacing w:before="120" w:after="120"/>
    </w:pPr>
    <w:rPr>
      <w:rFonts w:cs="FreeSans"/>
      <w:i/>
      <w:iCs/>
      <w:sz w:val="24"/>
      <w:szCs w:val="24"/>
    </w:rPr>
  </w:style>
  <w:style w:type="paragraph" w:styleId="HeaderandFooter" w:customStyle="1">
    <w:name w:val="Header and Footer"/>
    <w:basedOn w:val="Normal"/>
    <w:qFormat/>
    <w:pPr/>
    <w:rPr/>
  </w:style>
  <w:style w:type="paragraph" w:styleId="Header">
    <w:name w:val="Header"/>
    <w:basedOn w:val="Normal"/>
    <w:link w:val="Style11"/>
    <w:uiPriority w:val="99"/>
    <w:unhideWhenUsed/>
    <w:rsid w:val="00f961e0"/>
    <w:pPr>
      <w:tabs>
        <w:tab w:val="clear" w:pos="708"/>
        <w:tab w:val="center" w:pos="4536" w:leader="none"/>
        <w:tab w:val="right" w:pos="9072" w:leader="none"/>
      </w:tabs>
    </w:pPr>
    <w:rPr/>
  </w:style>
  <w:style w:type="paragraph" w:styleId="Footer">
    <w:name w:val="Footer"/>
    <w:basedOn w:val="Normal"/>
    <w:link w:val="Style12"/>
    <w:unhideWhenUsed/>
    <w:rsid w:val="00f961e0"/>
    <w:pPr>
      <w:tabs>
        <w:tab w:val="clear" w:pos="708"/>
        <w:tab w:val="center" w:pos="4536" w:leader="none"/>
        <w:tab w:val="right" w:pos="9072" w:leader="none"/>
      </w:tabs>
    </w:pPr>
    <w:rPr/>
  </w:style>
  <w:style w:type="paragraph" w:styleId="Annotationtext">
    <w:name w:val="annotation text"/>
    <w:basedOn w:val="Normal"/>
    <w:link w:val="Style13"/>
    <w:uiPriority w:val="99"/>
    <w:unhideWhenUsed/>
    <w:qFormat/>
    <w:rsid w:val="00903ed2"/>
    <w:pPr/>
    <w:rPr>
      <w:sz w:val="20"/>
      <w:szCs w:val="20"/>
    </w:rPr>
  </w:style>
  <w:style w:type="paragraph" w:styleId="Annotationsubject">
    <w:name w:val="annotation subject"/>
    <w:basedOn w:val="Annotationtext"/>
    <w:next w:val="Annotationtext"/>
    <w:link w:val="Style14"/>
    <w:uiPriority w:val="99"/>
    <w:semiHidden/>
    <w:unhideWhenUsed/>
    <w:qFormat/>
    <w:rsid w:val="00903ed2"/>
    <w:pPr/>
    <w:rPr>
      <w:b/>
      <w:bCs/>
    </w:rPr>
  </w:style>
  <w:style w:type="paragraph" w:styleId="BalloonText">
    <w:name w:val="Balloon Text"/>
    <w:basedOn w:val="Normal"/>
    <w:link w:val="Style15"/>
    <w:uiPriority w:val="99"/>
    <w:semiHidden/>
    <w:unhideWhenUsed/>
    <w:qFormat/>
    <w:rsid w:val="00903ed2"/>
    <w:pPr>
      <w:spacing w:lineRule="auto" w:line="240" w:before="0" w:after="0"/>
    </w:pPr>
    <w:rPr>
      <w:rFonts w:ascii="Tahoma" w:hAnsi="Tahoma" w:cs="Tahoma"/>
      <w:sz w:val="16"/>
      <w:szCs w:val="16"/>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before="0" w:after="0"/>
      <w:ind w:left="220"/>
    </w:pPr>
    <w:rPr>
      <w:smallCaps/>
      <w:sz w:val="20"/>
      <w:szCs w:val="20"/>
    </w:rPr>
  </w:style>
  <w:style w:type="paragraph" w:styleId="TOC3">
    <w:name w:val="TOC 3"/>
    <w:basedOn w:val="Normal"/>
    <w:next w:val="Normal"/>
    <w:autoRedefine/>
    <w:uiPriority w:val="39"/>
    <w:unhideWhenUsed/>
    <w:rsid w:val="00d01489"/>
    <w:pPr>
      <w:spacing w:before="0" w:after="0"/>
      <w:ind w:left="440"/>
    </w:pPr>
    <w:rPr>
      <w:i/>
      <w:iCs/>
      <w:sz w:val="20"/>
      <w:szCs w:val="20"/>
    </w:rPr>
  </w:style>
  <w:style w:type="paragraph" w:styleId="TOC4">
    <w:name w:val="TOC 4"/>
    <w:basedOn w:val="Normal"/>
    <w:next w:val="Normal"/>
    <w:autoRedefine/>
    <w:uiPriority w:val="39"/>
    <w:unhideWhenUsed/>
    <w:rsid w:val="00d01489"/>
    <w:pPr>
      <w:spacing w:before="0" w:after="0"/>
      <w:ind w:left="660"/>
    </w:pPr>
    <w:rPr>
      <w:sz w:val="18"/>
      <w:szCs w:val="18"/>
    </w:rPr>
  </w:style>
  <w:style w:type="paragraph" w:styleId="TOC5">
    <w:name w:val="TOC 5"/>
    <w:basedOn w:val="Normal"/>
    <w:next w:val="Normal"/>
    <w:autoRedefine/>
    <w:uiPriority w:val="39"/>
    <w:unhideWhenUsed/>
    <w:rsid w:val="00d01489"/>
    <w:pPr>
      <w:spacing w:before="0" w:after="0"/>
      <w:ind w:left="880"/>
    </w:pPr>
    <w:rPr>
      <w:sz w:val="18"/>
      <w:szCs w:val="18"/>
    </w:rPr>
  </w:style>
  <w:style w:type="paragraph" w:styleId="TOC6">
    <w:name w:val="TOC 6"/>
    <w:basedOn w:val="Normal"/>
    <w:next w:val="Normal"/>
    <w:autoRedefine/>
    <w:uiPriority w:val="39"/>
    <w:unhideWhenUsed/>
    <w:rsid w:val="00d01489"/>
    <w:pPr>
      <w:spacing w:before="0" w:after="0"/>
      <w:ind w:left="1100"/>
    </w:pPr>
    <w:rPr>
      <w:sz w:val="18"/>
      <w:szCs w:val="18"/>
    </w:rPr>
  </w:style>
  <w:style w:type="paragraph" w:styleId="TOC7">
    <w:name w:val="TOC 7"/>
    <w:basedOn w:val="Normal"/>
    <w:next w:val="Normal"/>
    <w:autoRedefine/>
    <w:uiPriority w:val="39"/>
    <w:unhideWhenUsed/>
    <w:rsid w:val="00d01489"/>
    <w:pPr>
      <w:spacing w:before="0" w:after="0"/>
      <w:ind w:left="1320"/>
    </w:pPr>
    <w:rPr>
      <w:sz w:val="18"/>
      <w:szCs w:val="18"/>
    </w:rPr>
  </w:style>
  <w:style w:type="paragraph" w:styleId="TOC8">
    <w:name w:val="TOC 8"/>
    <w:basedOn w:val="Normal"/>
    <w:next w:val="Normal"/>
    <w:autoRedefine/>
    <w:uiPriority w:val="39"/>
    <w:unhideWhenUsed/>
    <w:rsid w:val="00d01489"/>
    <w:pPr>
      <w:spacing w:before="0" w:after="0"/>
      <w:ind w:left="1540"/>
    </w:pPr>
    <w:rPr>
      <w:sz w:val="18"/>
      <w:szCs w:val="18"/>
    </w:rPr>
  </w:style>
  <w:style w:type="paragraph" w:styleId="TOC9">
    <w:name w:val="TOC 9"/>
    <w:basedOn w:val="Normal"/>
    <w:next w:val="Normal"/>
    <w:autoRedefine/>
    <w:uiPriority w:val="39"/>
    <w:unhideWhenUsed/>
    <w:rsid w:val="00d01489"/>
    <w:pPr>
      <w:spacing w:before="0" w:after="0"/>
      <w:ind w:left="1760"/>
    </w:pPr>
    <w:rPr>
      <w:sz w:val="18"/>
      <w:szCs w:val="18"/>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9f25bf"/>
    <w:pPr>
      <w:keepNext w:val="true"/>
      <w:keepLines/>
      <w:numPr>
        <w:ilvl w:val="0"/>
        <w:numId w:val="0"/>
      </w:numPr>
      <w:spacing w:before="480" w:after="0"/>
      <w:outlineLvl w:val="9"/>
    </w:pPr>
    <w:rPr>
      <w:rFonts w:ascii="Cambria" w:hAnsi="Cambria" w:eastAsia="Times New Roman"/>
      <w:bCs/>
      <w:color w:val="365F91"/>
      <w:lang w:val="en-US"/>
    </w:rPr>
  </w:style>
  <w:style w:type="paragraph" w:styleId="Revision">
    <w:name w:val="Revision"/>
    <w:uiPriority w:val="99"/>
    <w:semiHidden/>
    <w:qFormat/>
    <w:rsid w:val="007e243f"/>
    <w:pPr>
      <w:widowControl/>
      <w:suppressAutoHyphens w:val="true"/>
      <w:bidi w:val="0"/>
      <w:spacing w:before="0" w:after="0"/>
      <w:jc w:val="left"/>
    </w:pPr>
    <w:rPr>
      <w:rFonts w:ascii="Calibri" w:hAnsi="Calibri" w:eastAsia="Calibri" w:cs="Times New Roman"/>
      <w:color w:val="auto"/>
      <w:kern w:val="0"/>
      <w:sz w:val="22"/>
      <w:szCs w:val="22"/>
      <w:lang w:val="en-GB" w:eastAsia="en-US" w:bidi="ar-SA"/>
    </w:rPr>
  </w:style>
  <w:style w:type="paragraph" w:styleId="ListParagraph">
    <w:name w:val="List Paragraph"/>
    <w:basedOn w:val="Normal"/>
    <w:uiPriority w:val="34"/>
    <w:qFormat/>
    <w:rsid w:val="0017157c"/>
    <w:pPr>
      <w:spacing w:before="0" w:after="20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6">
    <w:name w:val="Table Grid"/>
    <w:basedOn w:val="a1"/>
    <w:uiPriority w:val="59"/>
    <w:rsid w:val="00af384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5158A-5B8A-426E-976A-A06FD4037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Application>LibreOffice/24.2.3.2$Linux_X86_64 LibreOffice_project/4f88f79086d18691a72ac668802d5bc5b5a88122</Application>
  <AppVersion>15.0000</AppVersion>
  <Pages>5</Pages>
  <Words>935</Words>
  <Characters>5797</Characters>
  <CharactersWithSpaces>6611</CharactersWithSpaces>
  <Paragraphs>99</Paragraphs>
  <Company>EPPS Services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2015-03-28T17:26:00Z</dcterms:created>
  <dc:creator>Dejan Kosutic</dc:creator>
  <dc:description>©2015 This template may be used by clients of EPPS Services Ltd. www.iso27001standard.com in accordance with the Licence Agreement.</dc:description>
  <dc:language>en-US</dc:language>
  <cp:lastModifiedBy/>
  <dcterms:modified xsi:type="dcterms:W3CDTF">2024-06-05T14:19:15Z</dcterms:modified>
  <cp:revision>14</cp:revision>
  <dc:subject/>
  <dc:title>ISMS Scope Document</dc:title>
</cp:coreProperties>
</file>

<file path=docProps/custom.xml><?xml version="1.0" encoding="utf-8"?>
<Properties xmlns="http://schemas.openxmlformats.org/officeDocument/2006/custom-properties" xmlns:vt="http://schemas.openxmlformats.org/officeDocument/2006/docPropsVTypes"/>
</file>