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2890" cy="2332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S.R.L “CloudSentinel”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PROCEDURA AUDITULUI INTERN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6913"/>
      </w:tblGrid>
      <w:tr>
        <w:trPr/>
        <w:tc>
          <w:tcPr>
            <w:tcW w:w="2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Cod: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PAI-01</w:t>
            </w:r>
          </w:p>
        </w:tc>
      </w:tr>
      <w:tr>
        <w:trPr/>
        <w:tc>
          <w:tcPr>
            <w:tcW w:w="2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Versiune: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/>
              <w:t>0.4.1a</w:t>
            </w:r>
          </w:p>
        </w:tc>
      </w:tr>
      <w:tr>
        <w:trPr/>
        <w:tc>
          <w:tcPr>
            <w:tcW w:w="2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Date of version: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Jun 5, 2024</w:t>
            </w:r>
          </w:p>
        </w:tc>
      </w:tr>
      <w:tr>
        <w:trPr/>
        <w:tc>
          <w:tcPr>
            <w:tcW w:w="2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Created by: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/>
              <w:t>Chirita Stanislav</w:t>
            </w:r>
          </w:p>
        </w:tc>
      </w:tr>
      <w:tr>
        <w:trPr/>
        <w:tc>
          <w:tcPr>
            <w:tcW w:w="2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Approved by: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Boboc Sandu</w:t>
            </w:r>
          </w:p>
        </w:tc>
      </w:tr>
      <w:tr>
        <w:trPr/>
        <w:tc>
          <w:tcPr>
            <w:tcW w:w="2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Nivelul de confidențialitate: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/>
              <w:t>Secret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200"/>
        <w:rPr>
          <w:b/>
          <w:sz w:val="28"/>
          <w:szCs w:val="28"/>
          <w:lang w:val="en-US"/>
        </w:rPr>
      </w:pPr>
      <w:r>
        <w:rPr>
          <w:b/>
          <w:sz w:val="28"/>
          <w:lang w:val="en-US"/>
        </w:rPr>
        <w:t>Change history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992"/>
        <w:gridCol w:w="1562"/>
        <w:gridCol w:w="5351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Created by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 of change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-01-01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Chihai Andrian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Crearea procedurii auditului intern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-02-15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Vozian Vladimir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Adăugarea cerințelor privind selectarea auditorilor interni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-04-10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Vozian Vladimir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Clarificarea criteriilor de numire a auditorilor interni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-06-20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Chirita Stanislav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Actualizarea descrierii procesului de audit intern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-09-05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0.4.1a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Boboc Sandu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Revizuire generală a întregului document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t>Cuprins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880_144984949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vanish w:val="false"/>
              </w:rPr>
              <w:tab/>
              <w:t>Scop, domeniu de aplicare și utilizatoriPurpose, scope and users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882_1449849499">
            <w:r>
              <w:rPr>
                <w:webHidden/>
                <w:rStyle w:val="IndexLink"/>
                <w:vanish w:val="false"/>
              </w:rPr>
              <w:t>2.</w:t>
              <w:tab/>
              <w:t>Documente de referință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884_1449849499">
            <w:r>
              <w:rPr>
                <w:webHidden/>
                <w:rStyle w:val="IndexLink"/>
                <w:vanish w:val="false"/>
              </w:rPr>
              <w:t>3.</w:t>
              <w:tab/>
              <w:t>Auditul intern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886_1449849499">
            <w:r>
              <w:rPr>
                <w:webHidden/>
                <w:rStyle w:val="IndexLink"/>
                <w:vanish w:val="false"/>
              </w:rPr>
              <w:t>3.1.</w:t>
              <w:tab/>
              <w:t>Scopul auditului intern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888_1449849499">
            <w:r>
              <w:rPr>
                <w:webHidden/>
                <w:rStyle w:val="IndexLink"/>
                <w:vanish w:val="false"/>
              </w:rPr>
              <w:t>3.2.</w:t>
              <w:tab/>
              <w:t>Planificarea auditului intern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890_1449849499">
            <w:r>
              <w:rPr>
                <w:webHidden/>
                <w:rStyle w:val="IndexLink"/>
                <w:vanish w:val="false"/>
              </w:rPr>
              <w:t>3.3.</w:t>
              <w:tab/>
              <w:t>Desemnarea auditorilor interni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892_1449849499">
            <w:r>
              <w:rPr>
                <w:webHidden/>
                <w:rStyle w:val="IndexLink"/>
                <w:vanish w:val="false"/>
              </w:rPr>
              <w:t>3.4.</w:t>
              <w:tab/>
              <w:t>Efectuarea auditurilor interne individuale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894_1449849499">
            <w:r>
              <w:rPr>
                <w:webHidden/>
                <w:rStyle w:val="IndexLink"/>
                <w:vanish w:val="false"/>
              </w:rPr>
              <w:t>4.</w:t>
              <w:tab/>
              <w:t>Gestionarea înregistrărilor păstrate pe baza acestui document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896_1449849499">
            <w:r>
              <w:rPr>
                <w:webHidden/>
                <w:rStyle w:val="IndexLink"/>
                <w:vanish w:val="false"/>
              </w:rPr>
              <w:t>5.</w:t>
              <w:tab/>
              <w:t>Valabilitatea și managementul documentelor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898_1449849499">
            <w:r>
              <w:rPr>
                <w:webHidden/>
                <w:rStyle w:val="IndexLink"/>
                <w:vanish w:val="false"/>
              </w:rPr>
              <w:t>6.</w:t>
              <w:tab/>
              <w:t>Anexe</w:t>
              <w:tab/>
              <w:t>7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" w:name="__RefHeading___Toc1880_1449849499"/>
      <w:bookmarkEnd w:id="1"/>
      <w:r>
        <w:rPr>
          <w:lang w:val="en-US"/>
        </w:rPr>
        <w:t>Scop, domeniu de aplicare și utilizatori</w:t>
      </w:r>
      <w:bookmarkStart w:id="2" w:name="_Toc415655444"/>
      <w:bookmarkStart w:id="3" w:name="_Toc263078249"/>
      <w:r>
        <w:rPr>
          <w:lang w:val="en-US"/>
        </w:rPr>
        <w:t>Purpose, scope and users</w:t>
      </w:r>
      <w:bookmarkEnd w:id="2"/>
      <w:bookmarkEnd w:id="3"/>
    </w:p>
    <w:p>
      <w:pPr>
        <w:pStyle w:val="Normal"/>
        <w:rPr>
          <w:lang w:val="en-US"/>
        </w:rPr>
      </w:pPr>
      <w:r>
        <w:rPr>
          <w:lang w:val="en-US"/>
        </w:rPr>
        <w:t xml:space="preserve">Scopul acestei proceduri este de a descrie toate activitățile legate de audit – redactarea programului de audit, selectarea unui auditor, efectuarea auditurilor individuale și raportarea. </w:t>
      </w:r>
    </w:p>
    <w:p>
      <w:pPr>
        <w:pStyle w:val="Normal"/>
        <w:rPr>
          <w:lang w:val="en-US"/>
        </w:rPr>
      </w:pPr>
      <w:r>
        <w:rPr>
          <w:lang w:val="en-US"/>
        </w:rPr>
        <w:t>Această procedură se aplică tuturor activităților desfășurate în cadrul Sistemului de Management al Securității Informației (ISMS). Utilizatorii acestui document sunt membrii managementului de vârf ai CloudSentinel, precum și auditorii interni.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4" w:name="__RefHeading___Toc1882_1449849499"/>
      <w:bookmarkEnd w:id="4"/>
      <w:r>
        <w:rPr>
          <w:lang w:val="en-US"/>
        </w:rPr>
        <w:t>Documente de referință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Standardul ISO/IEC 27001, clauza 9.2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Standardul ISO 22301, clauza 9.2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Standardul BS 25999-2, clauza 5.1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Politica Sistemului de Management al Securității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Politica de Management al Continuității în Afaceri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Procedură pentru Acţiune Corectivă şi Preventivă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ISO 19011 standard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ISO 9001 standard, clause 9.2</w:t>
      </w:r>
    </w:p>
    <w:p>
      <w:pPr>
        <w:pStyle w:val="Normal"/>
        <w:numPr>
          <w:ilvl w:val="0"/>
          <w:numId w:val="2"/>
        </w:numPr>
        <w:spacing w:before="0" w:after="0"/>
        <w:rPr>
          <w:lang w:val="en-US"/>
        </w:rPr>
      </w:pPr>
      <w:r>
        <w:rPr>
          <w:rStyle w:val="Strong"/>
          <w:lang w:val="en-US"/>
        </w:rPr>
        <w:t xml:space="preserve">   </w:t>
      </w:r>
      <w:r>
        <w:rPr>
          <w:rStyle w:val="Strong"/>
          <w:lang w:val="en-US"/>
        </w:rPr>
        <w:t>Business Continuity Management Policy</w:t>
      </w:r>
      <w:r>
        <w:rPr>
          <w:lang w:val="en-US"/>
        </w:rPr>
        <w:t>: Politica internă privind continuitatea afacerii va furniza îndrumări pentru auditul BCMS.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5" w:name="__RefHeading___Toc1884_1449849499"/>
      <w:bookmarkEnd w:id="5"/>
      <w:r>
        <w:rPr>
          <w:lang w:val="en-US"/>
        </w:rPr>
        <w:t>Auditul intern</w:t>
      </w:r>
    </w:p>
    <w:p>
      <w:pPr>
        <w:pStyle w:val="Heading2"/>
        <w:rPr>
          <w:lang w:val="en-US"/>
        </w:rPr>
      </w:pPr>
      <w:bookmarkStart w:id="6" w:name="__RefHeading___Toc1886_1449849499"/>
      <w:bookmarkEnd w:id="6"/>
      <w:r>
        <w:rPr>
          <w:lang w:val="en-US"/>
        </w:rPr>
        <w:t>Scopul auditului intern</w:t>
      </w:r>
      <w:bookmarkStart w:id="7" w:name="_Toc415655447"/>
      <w:bookmarkStart w:id="8" w:name="_Toc263078252"/>
      <w:bookmarkEnd w:id="7"/>
      <w:bookmarkEnd w:id="8"/>
    </w:p>
    <w:p>
      <w:pPr>
        <w:pStyle w:val="Normal"/>
        <w:rPr>
          <w:lang w:val="en-US"/>
        </w:rPr>
      </w:pPr>
      <w:r>
        <w:rPr>
          <w:lang w:val="en-US"/>
        </w:rPr>
        <w:t>Scopul auditului intern este de a determina dacă procedurile, controalele, procesele, aranjamentele și alte activități din cadrul ISMS [BCMS] sunt în conformitate cu standardele ISO 27001 și ISO 22301/BS 25999-2, reglementările aplicabile și documentația internă a organizației, dacă sunt implementate și menținute eficient și dacă îndeplinesc cerințele politicii și obiectivele stabilite.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2"/>
        <w:rPr>
          <w:lang w:val="en-US"/>
        </w:rPr>
      </w:pPr>
      <w:bookmarkStart w:id="9" w:name="__RefHeading___Toc1888_1449849499"/>
      <w:bookmarkEnd w:id="9"/>
      <w:r>
        <w:rPr>
          <w:lang w:val="en-US"/>
        </w:rPr>
        <w:t>Planificarea auditului intern</w:t>
      </w:r>
    </w:p>
    <w:p>
      <w:pPr>
        <w:pStyle w:val="Normal"/>
        <w:rPr>
          <w:lang w:val="en-US"/>
        </w:rPr>
      </w:pPr>
      <w:r>
        <w:rPr>
          <w:lang w:val="en-US"/>
        </w:rPr>
        <w:t>Chief Information Security Officer (CISO) aprobă un program anual pentru auditurile interne, redactat conform formularului din Anexa 1.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Unul sau mai multe audituri interne ar trebui să fie efectuate pe parcursul unui an, asigurând acoperirea cumulativă a întregului domeniu ISMS [BCMS]. Auditurile interne sunt planificate pe baza evaluării riscurilor, precum și a rezultatelor auditărilor anterioare; acestea sunt de obicei efectuate înainte de revizuirea managementului. Programul anual de audit intern trebuie să conțină următoarele informații despre fiecare audit intern individual: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perioada auditului (specificând datele sau luna în care este planificat auditul)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domeniul de aplicare al auditului (departamente, procese, clauze ale standardului etc.)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criteriile auditului (standarde, legislație și reglementări, documentație internă, standarde corporative și/sau obligații contractuale)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metodele de auditare (revizuirea documentației, interviuri cu angajații, revizuirea înregistrărilor, revizuirea sistemelor informatice etc.)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cine va efectua auditul (dacă există mai mulți auditori, specificați liderul echipei de audit) </w:t>
      </w:r>
    </w:p>
    <w:p>
      <w:pPr>
        <w:pStyle w:val="Normal"/>
        <w:rPr>
          <w:lang w:val="en-US"/>
        </w:rPr>
      </w:pPr>
      <w:r>
        <w:rPr>
          <w:lang w:val="en-US"/>
        </w:rPr>
        <w:t>Auditurile efectuate trebuie să fie înregistrate în programul anual de audit intern.</w:t>
      </w:r>
    </w:p>
    <w:p>
      <w:pPr>
        <w:pStyle w:val="Heading2"/>
        <w:rPr>
          <w:lang w:val="en-US"/>
        </w:rPr>
      </w:pPr>
      <w:bookmarkStart w:id="10" w:name="__RefHeading___Toc1890_1449849499"/>
      <w:bookmarkEnd w:id="10"/>
      <w:r>
        <w:rPr>
          <w:lang w:val="en-US"/>
        </w:rPr>
        <w:t>Desemnarea auditorilor interni</w:t>
      </w:r>
      <w:bookmarkStart w:id="11" w:name="_Toc415655449"/>
      <w:bookmarkStart w:id="12" w:name="_Toc263078254"/>
      <w:bookmarkEnd w:id="11"/>
      <w:bookmarkEnd w:id="12"/>
    </w:p>
    <w:p>
      <w:pPr>
        <w:pStyle w:val="BodyText"/>
        <w:rPr>
          <w:lang w:val="en-US"/>
        </w:rPr>
      </w:pPr>
      <w:r>
        <w:rPr>
          <w:rStyle w:val="Strong"/>
          <w:lang w:val="en-US"/>
        </w:rPr>
        <w:t>Managerul de Securitate Informațională</w:t>
      </w:r>
      <w:r>
        <w:rPr>
          <w:lang w:val="en-US"/>
        </w:rPr>
        <w:t xml:space="preserve"> va desemna auditori interni.</w:t>
      </w:r>
    </w:p>
    <w:p>
      <w:pPr>
        <w:pStyle w:val="BodyText"/>
        <w:rPr/>
      </w:pPr>
      <w:r>
        <w:rPr/>
        <w:t>Un auditor intern poate fi cineva din organizație sau o persoană din afara organizației. Criteriile pentru desemnarea auditorilor interni sunt: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cunoștințe despre standardele ISO/IEC 27001 și ISO 22301/BS 25999-2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familiaritatea cu tehnicile de auditare a sistemelor de management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cunoștințe despre modul de funcționare a tehnologiilor informației și comunicațiilor, în măsura în care acesta/aceasta este familiarizat(ă) cu scopul sistemelor individuale, precum și cu impacturile asupra proceselor de securitate și/sau asupra continuității afacerii</w:t>
      </w:r>
    </w:p>
    <w:p>
      <w:pPr>
        <w:pStyle w:val="BodyText"/>
        <w:rPr/>
      </w:pPr>
      <w:r>
        <w:rPr/>
        <w:t>Auditorii interni trebuie să fie selectați astfel încât să se asigure obiectivitatea și imparțialitatea, adică pentru a evita conflictul de interese, deoarece auditorilor nu le este permis să-și auditeze propriul lucru.</w:t>
      </w:r>
    </w:p>
    <w:p>
      <w:pPr>
        <w:pStyle w:val="BodyText"/>
        <w:rPr/>
      </w:pPr>
      <w:r>
        <w:rPr/>
        <w:t>Se recomandă ca auditorii interni să completeze un curs pentru auditori interni conform ISO/IEC 27001.</w:t>
      </w:r>
    </w:p>
    <w:p>
      <w:pPr>
        <w:pStyle w:val="Heading2"/>
        <w:rPr>
          <w:lang w:val="en-US"/>
        </w:rPr>
      </w:pPr>
      <w:bookmarkStart w:id="13" w:name="__RefHeading___Toc1892_1449849499"/>
      <w:bookmarkEnd w:id="13"/>
      <w:r>
        <w:rPr>
          <w:lang w:val="en-US"/>
        </w:rPr>
        <w:t>Efectuarea auditurilor interne individuale</w:t>
      </w:r>
    </w:p>
    <w:p>
      <w:pPr>
        <w:pStyle w:val="BodyText"/>
        <w:rPr>
          <w:lang w:val="en-US"/>
        </w:rPr>
      </w:pPr>
      <w:r>
        <w:rPr>
          <w:rStyle w:val="Strong"/>
          <w:lang w:val="en-US"/>
        </w:rPr>
        <w:t>Persoanele responsabile pentru auditurile interne individuale sunt identificate în Programul Anual de Audit Intern.</w:t>
      </w:r>
      <w:r>
        <w:rPr>
          <w:lang w:val="en-US"/>
        </w:rPr>
        <w:t xml:space="preserve"> Dacă un audit este realizat de o echipă formată din mai mulți auditori, persoana responsabilă pentru audit este cea desemnată ca Lider al Echipei de Audit.</w:t>
      </w:r>
    </w:p>
    <w:p>
      <w:pPr>
        <w:pStyle w:val="BodyText"/>
        <w:rPr/>
      </w:pPr>
      <w:r>
        <w:rPr/>
        <w:t>În timpul unui audit intern, trebuie luate în considerare următoarele: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criteriile stabilite în Programul Anual de Audit Intern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rezultatele auditurilor interne sau externe anterioare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rezultatele evaluării riscurilor, implementarea controalelor, analiza impactului asupra afacerii, etc.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Lista de verificare a auditului intern – vezi Anexa 3</w:t>
      </w:r>
    </w:p>
    <w:p>
      <w:pPr>
        <w:pStyle w:val="BodyText"/>
        <w:rPr/>
      </w:pPr>
      <w:r>
        <w:rPr/>
        <w:t>Rezultatele auditului intern trebuie documentate astfel: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Raportul de Audit Intern – acesta trebuie trimis către </w:t>
      </w:r>
      <w:r>
        <w:rPr>
          <w:rStyle w:val="Strong"/>
        </w:rPr>
        <w:t>Managerul de Securitate Informațională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acțiunile corective posibile trebuie documentate în Formularul de Acțiuni Corective, conform Procedurii pentru Acțiuni Corective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4" w:name="__RefHeading___Toc1894_1449849499"/>
      <w:bookmarkEnd w:id="14"/>
      <w:r>
        <w:rPr>
          <w:lang w:val="en-US"/>
        </w:rPr>
        <w:t>Gestionarea înregistrărilor păstrate pe baza acestui document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9"/>
        <w:gridCol w:w="1683"/>
        <w:gridCol w:w="1698"/>
        <w:gridCol w:w="2555"/>
        <w:gridCol w:w="1383"/>
      </w:tblGrid>
      <w:tr>
        <w:trPr/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Style w:val="Strong"/>
                <w:sz w:val="20"/>
                <w:szCs w:val="20"/>
                <w:lang w:val="en-US"/>
              </w:rPr>
              <w:t>Nume înregistrare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Style w:val="Strong"/>
                <w:sz w:val="20"/>
                <w:szCs w:val="20"/>
                <w:lang w:val="en-US"/>
              </w:rPr>
              <w:t>Locație de stocare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Style w:val="Strong"/>
                <w:sz w:val="20"/>
                <w:szCs w:val="20"/>
                <w:lang w:val="en-US"/>
              </w:rPr>
              <w:t>Persoana responsabilă pentru stocare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Style w:val="Strong"/>
                <w:sz w:val="20"/>
                <w:szCs w:val="20"/>
                <w:lang w:val="en-US"/>
              </w:rPr>
              <w:t>Controale pentru protecția înregistrărilor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Style w:val="Strong"/>
                <w:sz w:val="20"/>
                <w:szCs w:val="20"/>
                <w:lang w:val="en-US"/>
              </w:rPr>
              <w:t>Perioada de retenție</w:t>
            </w:r>
          </w:p>
        </w:tc>
      </w:tr>
      <w:tr>
        <w:trPr/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Programul Anual de Audit Intern (în format electronic)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Calculatorul Managerului de Securitate Informațională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Managerul de Securitate Informațională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Doar Managerul de Securitate Informațională și auditorul intern au dreptul să facă înscrieri și modificări în programul anual de audit intern.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3 ani</w:t>
            </w:r>
          </w:p>
        </w:tc>
      </w:tr>
      <w:tr>
        <w:trPr/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Raportul de Audit Intern (în format electronic)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Calculatoarele auditorului intern și Managerului de Securitate Informațională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Auditorul intern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Rapoartele sunt stocate în versiuni doar pentru citire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3 ani</w:t>
            </w:r>
          </w:p>
        </w:tc>
      </w:tr>
      <w:tr>
        <w:trPr/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Lista de Verificare a Auditului Intern (formular completat în timpul auditului intern)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Calculatorul auditorului intern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Auditorul intern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Lista de verificare este stocată în versiune doar pentru citire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3 ani</w:t>
            </w:r>
          </w:p>
        </w:tc>
      </w:tr>
    </w:tbl>
    <w:p>
      <w:pPr>
        <w:pStyle w:val="Normal"/>
        <w:spacing w:before="240" w:after="200"/>
        <w:rPr>
          <w:lang w:val="en-US"/>
        </w:rPr>
      </w:pPr>
      <w:r>
        <w:rPr>
          <w:lang w:val="en-US"/>
        </w:rPr>
        <w:t>Doar Responsabilul de Audit Intern(Managerul de Securitate Informațională) poate acorda altor angajați dreptul de acces la Programul Anual de Audit Intern, Raportul de Audit Intern și Lista de Verificare a Auditului Intern.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5" w:name="__RefHeading___Toc1896_1449849499"/>
      <w:bookmarkEnd w:id="15"/>
      <w:r>
        <w:rPr>
          <w:lang w:val="en-US"/>
        </w:rPr>
        <w:t>Valabilitatea și managementul documentelor</w:t>
      </w:r>
      <w:bookmarkStart w:id="16" w:name="_Toc415655452"/>
      <w:bookmarkStart w:id="17" w:name="_Toc263078258"/>
      <w:bookmarkEnd w:id="16"/>
      <w:bookmarkEnd w:id="17"/>
    </w:p>
    <w:p>
      <w:pPr>
        <w:pStyle w:val="Normal"/>
        <w:rPr>
          <w:lang w:val="en-US"/>
        </w:rPr>
      </w:pPr>
      <w:r>
        <w:rPr>
          <w:lang w:val="en-US"/>
        </w:rPr>
        <w:t>Acest document este valabil începând cu 01.01.2025.</w:t>
      </w:r>
    </w:p>
    <w:p>
      <w:pPr>
        <w:pStyle w:val="Normal"/>
        <w:rPr>
          <w:lang w:val="en-US"/>
        </w:rPr>
      </w:pPr>
      <w:r>
        <w:rPr>
          <w:lang w:val="en-US"/>
        </w:rPr>
        <w:t>Proprietarul acestui document este Managerul de Securitate Informațională, care trebuie să verifice și, dacă este necesar, să actualizeze documentul cel puțin o dată pe an.</w:t>
      </w:r>
    </w:p>
    <w:p>
      <w:pPr>
        <w:pStyle w:val="Normal"/>
        <w:rPr>
          <w:lang w:val="en-US"/>
        </w:rPr>
      </w:pPr>
      <w:r>
        <w:rPr>
          <w:lang w:val="en-US"/>
        </w:rPr>
        <w:t>Atunci când se evaluează eficacitatea și caracterul adecvat al acestui document, trebuie luate în considerare următoarele criterii: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• </w:t>
      </w:r>
      <w:r>
        <w:rPr>
          <w:lang w:val="en-US"/>
        </w:rPr>
        <w:t>numărul de acțiuni corective identificate în timpul auditului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• </w:t>
      </w:r>
      <w:r>
        <w:rPr>
          <w:lang w:val="en-US"/>
        </w:rPr>
        <w:t>numărul de acțiuni corective identificate în cursul auditului de certificare efectuat după auditul intern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• </w:t>
      </w:r>
      <w:r>
        <w:rPr>
          <w:lang w:val="en-US"/>
        </w:rPr>
        <w:t>Întrebarea dacă frecvența auditului intern este în concordanță cu Programul Anual de Audit Intern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bookmarkStart w:id="18" w:name="__RefHeading___Toc1898_1449849499"/>
      <w:bookmarkStart w:id="19" w:name="_Toc415655453"/>
      <w:bookmarkStart w:id="20" w:name="_Toc263078259"/>
      <w:bookmarkEnd w:id="18"/>
      <w:r>
        <w:rPr>
          <w:lang w:val="en-US"/>
        </w:rPr>
        <w:t>A</w:t>
      </w:r>
      <w:bookmarkEnd w:id="19"/>
      <w:bookmarkEnd w:id="20"/>
      <w:r>
        <w:rPr>
          <w:lang w:val="en-US"/>
        </w:rPr>
        <w:t>nexe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Anexa 1 – Programul anual de audit intern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Anexa 2 – Raportul de audit intern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Anexa 3 – Lista de verificare pentru auditul intern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Responsabilul de Securitate a Informațiilor</w:t>
      </w:r>
    </w:p>
    <w:p>
      <w:pPr>
        <w:pStyle w:val="Normal"/>
        <w:spacing w:before="0" w:after="0"/>
        <w:rPr>
          <w:lang w:val="en-US"/>
        </w:rPr>
      </w:pPr>
      <w:r>
        <w:rPr>
          <w:shd w:fill="auto" w:val="clear"/>
          <w:lang w:val="en-US"/>
        </w:rPr>
        <w:t xml:space="preserve">Boboc Sandu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shd w:fill="auto" w:val="clear"/>
          <w:lang w:val="en-US"/>
        </w:rPr>
        <w:t>__________________</w:t>
      </w:r>
    </w:p>
    <w:p>
      <w:pPr>
        <w:pStyle w:val="Normal"/>
        <w:spacing w:before="0" w:after="0"/>
        <w:rPr>
          <w:lang w:val="en-US"/>
        </w:rPr>
      </w:pPr>
      <w:r>
        <w:rPr>
          <w:shd w:fill="auto" w:val="clear"/>
          <w:lang w:val="en-US"/>
        </w:rPr>
        <w:t>Semnătura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7" w:right="1417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368"/>
      <w:gridCol w:w="2269"/>
      <w:gridCol w:w="3685"/>
    </w:tblGrid>
    <w:tr>
      <w:trPr/>
      <w:tc>
        <w:tcPr>
          <w:tcW w:w="3368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rPr>
              <w:sz w:val="18"/>
              <w:szCs w:val="18"/>
            </w:rPr>
          </w:pPr>
          <w:r>
            <w:rPr>
              <w:sz w:val="18"/>
            </w:rPr>
            <w:t>Procedura de Audit Intern</w:t>
          </w:r>
        </w:p>
      </w:tc>
      <w:tc>
        <w:tcPr>
          <w:tcW w:w="2269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jc w:val="center"/>
            <w:rPr>
              <w:sz w:val="18"/>
              <w:szCs w:val="18"/>
            </w:rPr>
          </w:pPr>
          <w:r>
            <w:rPr>
              <w:sz w:val="18"/>
              <w:lang w:val="en-US"/>
            </w:rPr>
            <w:t>Ver 04.1a din 2024-09-05</w:t>
          </w:r>
        </w:p>
      </w:tc>
      <w:tc>
        <w:tcPr>
          <w:tcW w:w="3685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Pagina </w:t>
          </w:r>
          <w:r>
            <w:rPr>
              <w:b/>
              <w:sz w:val="18"/>
            </w:rPr>
            <w:fldChar w:fldCharType="begin"/>
          </w:r>
          <w:r>
            <w:rPr>
              <w:sz w:val="18"/>
              <w:b/>
            </w:rPr>
            <w:instrText xml:space="preserve"> PAGE </w:instrText>
          </w:r>
          <w:r>
            <w:rPr>
              <w:sz w:val="18"/>
              <w:b/>
            </w:rPr>
            <w:fldChar w:fldCharType="separate"/>
          </w:r>
          <w:r>
            <w:rPr>
              <w:sz w:val="18"/>
              <w:b/>
            </w:rPr>
            <w:t>7</w:t>
          </w:r>
          <w:r>
            <w:rPr>
              <w:sz w:val="18"/>
              <w:b/>
            </w:rPr>
            <w:fldChar w:fldCharType="end"/>
          </w:r>
          <w:r>
            <w:rPr>
              <w:sz w:val="18"/>
            </w:rPr>
            <w:t xml:space="preserve"> din </w:t>
          </w:r>
          <w:r>
            <w:rPr>
              <w:b/>
              <w:sz w:val="18"/>
            </w:rPr>
            <w:fldChar w:fldCharType="begin"/>
          </w:r>
          <w:r>
            <w:rPr>
              <w:sz w:val="18"/>
              <w:b/>
            </w:rPr>
            <w:instrText xml:space="preserve"> NUMPAGES </w:instrText>
          </w:r>
          <w:r>
            <w:rPr>
              <w:sz w:val="18"/>
              <w:b/>
            </w:rPr>
            <w:fldChar w:fldCharType="separate"/>
          </w:r>
          <w:r>
            <w:rPr>
              <w:sz w:val="18"/>
              <w:b/>
            </w:rPr>
            <w:t>7</w:t>
          </w:r>
          <w:r>
            <w:rPr>
              <w:sz w:val="18"/>
              <w:b/>
            </w:rPr>
            <w:fldChar w:fldCharType="end"/>
          </w:r>
        </w:p>
      </w:tc>
    </w:tr>
  </w:tbl>
  <w:p>
    <w:pPr>
      <w:pStyle w:val="Normal"/>
      <w:spacing w:before="0" w:after="0"/>
      <w:jc w:val="center"/>
      <w:rPr>
        <w:sz w:val="16"/>
        <w:szCs w:val="16"/>
      </w:rPr>
    </w:pPr>
    <w:r>
      <w:rPr>
        <w:sz w:val="16"/>
      </w:rPr>
      <w:t xml:space="preserve">©2024 Acest șablon poate fi utilizat de către clienții CloudSentinel în conformitate cu Acordul de Licență. </w:t>
    </w:r>
    <w:r>
      <w:rPr>
        <w:rStyle w:val="Hyperlink"/>
        <w:sz w:val="16"/>
      </w:rPr>
      <w:t>www.cloudsentinel.com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sz w:val="16"/>
        <w:szCs w:val="16"/>
      </w:rPr>
    </w:pPr>
    <w:r>
      <w:rPr>
        <w:sz w:val="16"/>
      </w:rPr>
      <w:t xml:space="preserve">©2024 Acest șablon poate fi utilizat de către clienții CloudSentinel în conformitate cu Acordul de Licență. </w:t>
    </w:r>
    <w:r>
      <w:rPr>
        <w:rStyle w:val="Hyperlink"/>
        <w:sz w:val="16"/>
      </w:rPr>
      <w:t>www.cloudsentinel.com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70"/>
      <w:gridCol w:w="2517"/>
    </w:tblGrid>
    <w:tr>
      <w:trPr/>
      <w:tc>
        <w:tcPr>
          <w:tcW w:w="6770" w:type="dxa"/>
          <w:tcBorders>
            <w:bottom w:val="single" w:sz="4" w:space="0" w:color="000000"/>
          </w:tcBorders>
        </w:tcPr>
        <w:p>
          <w:pPr>
            <w:pStyle w:val="Header"/>
            <w:spacing w:before="0" w:after="0"/>
            <w:rPr>
              <w:sz w:val="20"/>
              <w:szCs w:val="20"/>
            </w:rPr>
          </w:pPr>
          <w:r>
            <w:rPr>
              <w:sz w:val="20"/>
            </w:rPr>
            <w:t>CloudSentinel</w:t>
          </w:r>
        </w:p>
      </w:tc>
      <w:tc>
        <w:tcPr>
          <w:tcW w:w="2517" w:type="dxa"/>
          <w:tcBorders>
            <w:bottom w:val="single" w:sz="4" w:space="0" w:color="000000"/>
          </w:tcBorders>
        </w:tcPr>
        <w:p>
          <w:pPr>
            <w:pStyle w:val="Normal"/>
            <w:spacing w:before="0" w:after="200"/>
            <w:jc w:val="center"/>
            <w:rPr>
              <w:lang w:val="en-US"/>
            </w:rPr>
          </w:pPr>
          <w:r>
            <w:rPr>
              <w:sz w:val="20"/>
              <w:szCs w:val="20"/>
            </w:rPr>
            <w:t>Secret</w:t>
          </w:r>
        </w:p>
      </w:tc>
    </w:tr>
  </w:tbl>
  <w:p>
    <w:pPr>
      <w:pStyle w:val="Header"/>
      <w:spacing w:before="0" w:after="0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isLgl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pStyle w:val="Heading3"/>
      <w:isLgl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a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ilvl w:val="0"/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961e0"/>
    <w:rPr>
      <w:sz w:val="22"/>
      <w:szCs w:val="22"/>
      <w:lang w:val="en-GB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b37f7"/>
    <w:rPr>
      <w:b/>
      <w:sz w:val="28"/>
      <w:szCs w:val="28"/>
      <w:lang w:val="en-GB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03ed2"/>
    <w:rPr>
      <w:sz w:val="16"/>
      <w:szCs w:val="16"/>
      <w:lang w:val="en-GB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903ed2"/>
    <w:rPr>
      <w:lang w:val="en-GB" w:eastAsia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03ed2"/>
    <w:rPr>
      <w:b/>
      <w:bCs/>
      <w:lang w:val="en-GB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3ed2"/>
    <w:rPr>
      <w:rFonts w:ascii="Tahoma" w:hAnsi="Tahoma" w:cs="Tahoma"/>
      <w:sz w:val="16"/>
      <w:szCs w:val="16"/>
      <w:lang w:val="en-GB"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7719"/>
    <w:rPr>
      <w:b/>
      <w:sz w:val="24"/>
      <w:szCs w:val="24"/>
      <w:lang w:val="en-GB" w:eastAsia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73ce6"/>
    <w:rPr>
      <w:b/>
      <w:i/>
      <w:sz w:val="22"/>
      <w:szCs w:val="22"/>
      <w:lang w:val="en-GB" w:eastAsia="en-US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nhideWhenUsed/>
    <w:rsid w:val="00f961e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03e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03ed2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3e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before="0"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before="0"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before="0" w:after="0"/>
      <w:ind w:left="1760"/>
    </w:pPr>
    <w:rPr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f3d"/>
    <w:pPr>
      <w:keepNext w:val="true"/>
      <w:keepLines/>
      <w:numPr>
        <w:ilvl w:val="0"/>
        <w:numId w:val="0"/>
      </w:numPr>
      <w:spacing w:before="480" w:after="0"/>
      <w:outlineLvl w:val="9"/>
    </w:pPr>
    <w:rPr>
      <w:rFonts w:ascii="Cambria" w:hAnsi="Cambria" w:eastAsia="Times New Roman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0b3da3"/>
    <w:pPr>
      <w:spacing w:before="0" w:after="200"/>
      <w:ind w:left="720"/>
      <w:contextualSpacing/>
    </w:pPr>
    <w:rPr/>
  </w:style>
  <w:style w:type="paragraph" w:styleId="Revision">
    <w:name w:val="Revision"/>
    <w:uiPriority w:val="99"/>
    <w:semiHidden/>
    <w:qFormat/>
    <w:rsid w:val="00d2281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384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2ADCD-A005-41AC-A177-2192DCB0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LibreOffice/24.2.3.2$Linux_X86_64 LibreOffice_project/4f88f79086d18691a72ac668802d5bc5b5a88122</Application>
  <AppVersion>15.0000</AppVersion>
  <Pages>7</Pages>
  <Words>1086</Words>
  <Characters>6963</Characters>
  <CharactersWithSpaces>7958</CharactersWithSpaces>
  <Paragraphs>137</Paragraphs>
  <Company>EPPS Services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2015-03-28T19:20:00Z</dcterms:created>
  <dc:creator>Dejan Kosutic</dc:creator>
  <dc:description>©2015 This template may be used by clients of EPPS Services Ltd. www.iso27001standard.com in accordance with the Licence Agreement.</dc:description>
  <dc:language>en-US</dc:language>
  <cp:lastModifiedBy/>
  <dcterms:modified xsi:type="dcterms:W3CDTF">2024-06-06T02:40:48Z</dcterms:modified>
  <cp:revision>11</cp:revision>
  <dc:subject/>
  <dc:title>Internal Audit Procedure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