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>
          <w:b/>
          <w:sz w:val="28"/>
          <w:lang w:val="en-US"/>
        </w:rPr>
        <w:t>Procesele Verbale ale Revizuirii Managementului</w:t>
      </w:r>
      <w:bookmarkStart w:id="0" w:name="_Toc262738691"/>
    </w:p>
    <w:p>
      <w:pPr>
        <w:pStyle w:val="Normal"/>
        <w:rPr>
          <w:lang w:val="en-US"/>
        </w:rPr>
      </w:pPr>
      <w:r>
        <w:rPr>
          <w:lang w:val="en-US"/>
        </w:rPr>
        <w:t>Ședința Consiliului de Administrație a avut loc pe 01.06.2024 și a fost asistată de:</w:t>
      </w:r>
    </w:p>
    <w:p>
      <w:pPr>
        <w:pStyle w:val="Normal"/>
        <w:numPr>
          <w:ilvl w:val="0"/>
          <w:numId w:val="2"/>
        </w:numPr>
        <w:rPr/>
      </w:pPr>
      <w:r>
        <w:rPr/>
        <w:t>Boboc Sandu</w:t>
      </w:r>
    </w:p>
    <w:p>
      <w:pPr>
        <w:pStyle w:val="Normal"/>
        <w:rPr>
          <w:lang w:val="en-US"/>
        </w:rPr>
      </w:pPr>
      <w:r>
        <w:rPr>
          <w:lang w:val="en-US"/>
        </w:rPr>
        <w:t>Scopul ședinței a fost de a revizui adecvarea, suficiența și eficiența Sistemului de Management al Securității Informației (ISMS).</w:t>
      </w:r>
    </w:p>
    <w:p>
      <w:pPr>
        <w:pStyle w:val="Normal"/>
        <w:rPr>
          <w:lang w:val="en-US"/>
        </w:rPr>
      </w:pPr>
      <w:r>
        <w:rPr>
          <w:lang w:val="en-US"/>
        </w:rPr>
        <w:t>Materialele sau informațiile revizuite în cadrul ședinței includ următoarele: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>
          <w:lang w:val="en-US"/>
        </w:rPr>
        <w:t>Raportul auditului intern din 20.05.2024, Raportul auditului extern din 15.04.2024, Revizuiri interne și revizuiri ale furnizorilor și/sau partenerilor de outsourcing din 10.05.2024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/>
        <w:t>Feedback-ul primit de la părțile interesate prin sondajele din aprilie 2024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/>
        <w:t>Documente și descrieri ale metodelor, produselor sau procedurilor, precum și bunele practici emergente și ghidurile de la Conferința de Securitate din mai 2024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/>
        <w:t>Raportul de evaluare a riscurilor și tratamentul riscurilor și stadiul implementării din planul de tratament al riscurilor din 01.04.2024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/>
        <w:t>Stadiul neconformităților și acțiunilor corective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/>
        <w:t>Rezultatele evaluării monitorizării și măsurării, inclusiv raportul privind realizarea obiectivelor din 30.04.2024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/>
        <w:t>Stadiul acțiunilor de urmărire care ar fi trebuit să fie luate după ultima revizuire a managementului din 01.12.2023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/>
        <w:t>Schimbările în problemele interne și externe care ar fi putut afecta ISMS, raportate în 01.04.2024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/>
        <w:t>Recomandările de îmbunătățire, inclusiv schimbările în Politica și obiectivele ISMS din 01.05.2024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/>
        <w:t>Raportul privind rezultatele exercițiilor și testărilor din 10.03.2024</w:t>
      </w:r>
    </w:p>
    <w:p>
      <w:pPr>
        <w:pStyle w:val="BodyText"/>
        <w:numPr>
          <w:ilvl w:val="0"/>
          <w:numId w:val="3"/>
        </w:numPr>
        <w:rPr/>
      </w:pPr>
      <w:r>
        <w:rPr/>
        <w:t>Raportul privind revizuirea efectuată după un incident perturbator din 05.02.2024</w:t>
      </w:r>
    </w:p>
    <w:p>
      <w:pPr>
        <w:pStyle w:val="Normal"/>
        <w:rPr>
          <w:lang w:val="en-US"/>
        </w:rPr>
      </w:pPr>
      <w:r>
        <w:rPr>
          <w:lang w:val="en-US"/>
        </w:rPr>
        <w:t>Deciziile luate în cadrul ședinței: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>
          <w:lang w:val="en-US"/>
        </w:rPr>
        <w:t>Extinderea domeniului de aplicare al ISMS pentru a include noile servicii cloud implementate în mai 2024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/>
        <w:t>Implementarea unor noi măsuri de securitate pentru a îmbunătăți eficiența ISMS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/>
        <w:t>Actualizarea evaluării riscurilor, analiza impactului asupra afacerii, planurile de continuitate a afacerii și Planul de Tratament al Riscurilor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/>
        <w:t>Modificarea documentației și controalelor necesare din cauza schimbărilor interne și externe identificate în mai 2024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/>
        <w:t>Aprobarea resurselor suplimentare pentru implementarea noilor măsuri de securitate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/>
        <w:t>Alocarea unui buget suplimentar pentru formarea angajaților în privința noilor măsuri de securitate</w:t>
      </w:r>
    </w:p>
    <w:p>
      <w:pPr>
        <w:pStyle w:val="BodyText"/>
        <w:numPr>
          <w:ilvl w:val="0"/>
          <w:numId w:val="4"/>
        </w:numPr>
        <w:spacing w:before="0" w:after="0"/>
        <w:rPr/>
      </w:pPr>
      <w:r>
        <w:rPr/>
        <w:t>Îmbunătățirea măsurătorilor de eficiență prin utilizarea unor noi indicatori de performanță</w:t>
      </w:r>
    </w:p>
    <w:p>
      <w:pPr>
        <w:pStyle w:val="BodyText"/>
        <w:numPr>
          <w:ilvl w:val="0"/>
          <w:numId w:val="4"/>
        </w:numPr>
        <w:rPr/>
      </w:pPr>
      <w:r>
        <w:rPr/>
        <w:t>Comunicarea deciziilor luate la această ședință de Revizuire a Managementului către toate părțile interesate, inclusiv furnizori și parteneri.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Responsabilul de Securitate a Informațiilor</w:t>
      </w:r>
    </w:p>
    <w:p>
      <w:pPr>
        <w:pStyle w:val="Normal"/>
        <w:spacing w:before="0" w:after="0"/>
        <w:rPr>
          <w:lang w:val="en-US"/>
        </w:rPr>
      </w:pPr>
      <w:r>
        <w:rPr>
          <w:shd w:fill="auto" w:val="clear"/>
          <w:lang w:val="en-US"/>
        </w:rPr>
        <w:t xml:space="preserve">Boboc Sandu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shd w:fill="auto" w:val="clear"/>
          <w:lang w:val="en-US"/>
        </w:rPr>
        <w:t>__________________</w:t>
      </w:r>
    </w:p>
    <w:p>
      <w:pPr>
        <w:pStyle w:val="Normal"/>
        <w:spacing w:before="0" w:after="0"/>
        <w:rPr>
          <w:lang w:val="en-US"/>
        </w:rPr>
      </w:pPr>
      <w:bookmarkEnd w:id="0"/>
      <w:r>
        <w:rPr>
          <w:shd w:fill="auto" w:val="clear"/>
          <w:lang w:val="en-US"/>
        </w:rPr>
        <w:t>Semnătura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2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652"/>
      <w:gridCol w:w="2268"/>
      <w:gridCol w:w="3402"/>
    </w:tblGrid>
    <w:tr>
      <w:trPr/>
      <w:tc>
        <w:tcPr>
          <w:tcW w:w="3652" w:type="dxa"/>
          <w:tcBorders>
            <w:top w:val="single" w:sz="4" w:space="0" w:color="000000"/>
          </w:tcBorders>
        </w:tcPr>
        <w:p>
          <w:pPr>
            <w:pStyle w:val="Footer"/>
            <w:spacing w:before="0" w:after="200"/>
            <w:rPr>
              <w:sz w:val="18"/>
              <w:szCs w:val="18"/>
            </w:rPr>
          </w:pPr>
          <w:r>
            <w:rPr>
              <w:sz w:val="18"/>
            </w:rPr>
            <w:t>Procesului de Revizuire a Managementului</w:t>
          </w:r>
        </w:p>
      </w:tc>
      <w:tc>
        <w:tcPr>
          <w:tcW w:w="2268" w:type="dxa"/>
          <w:tcBorders>
            <w:top w:val="single" w:sz="4" w:space="0" w:color="000000"/>
          </w:tcBorders>
        </w:tcPr>
        <w:p>
          <w:pPr>
            <w:pStyle w:val="Footer"/>
            <w:spacing w:before="0" w:after="200"/>
            <w:jc w:val="center"/>
            <w:rPr>
              <w:sz w:val="18"/>
              <w:szCs w:val="18"/>
            </w:rPr>
          </w:pPr>
          <w:r>
            <w:rPr>
              <w:sz w:val="18"/>
            </w:rPr>
            <w:t xml:space="preserve">Ver </w:t>
          </w:r>
          <w:r>
            <w:rPr>
              <w:sz w:val="18"/>
            </w:rPr>
            <w:t>0.1a</w:t>
          </w:r>
          <w:r>
            <w:rPr>
              <w:sz w:val="18"/>
            </w:rPr>
            <w:t xml:space="preserve"> de la  </w:t>
          </w:r>
          <w:r>
            <w:rPr>
              <w:sz w:val="18"/>
            </w:rPr>
            <w:t>02</w:t>
          </w:r>
          <w:r>
            <w:rPr>
              <w:sz w:val="18"/>
              <w:lang w:val="en-US"/>
            </w:rPr>
            <w:t>.06.2024</w:t>
          </w:r>
        </w:p>
      </w:tc>
      <w:tc>
        <w:tcPr>
          <w:tcW w:w="3402" w:type="dxa"/>
          <w:tcBorders>
            <w:top w:val="single" w:sz="4" w:space="0" w:color="000000"/>
          </w:tcBorders>
        </w:tcPr>
        <w:p>
          <w:pPr>
            <w:pStyle w:val="Footer"/>
            <w:spacing w:before="0" w:after="200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>Pag</w:t>
          </w:r>
          <w:r>
            <w:rPr>
              <w:sz w:val="18"/>
            </w:rPr>
            <w:t>ina</w:t>
          </w:r>
          <w:r>
            <w:rPr>
              <w:sz w:val="18"/>
            </w:rPr>
            <w:t xml:space="preserve"> </w:t>
          </w:r>
          <w:r>
            <w:rPr>
              <w:b/>
              <w:sz w:val="18"/>
            </w:rPr>
            <w:fldChar w:fldCharType="begin"/>
          </w:r>
          <w:r>
            <w:rPr>
              <w:sz w:val="18"/>
              <w:b/>
            </w:rPr>
            <w:instrText xml:space="preserve"> PAGE </w:instrText>
          </w:r>
          <w:r>
            <w:rPr>
              <w:sz w:val="18"/>
              <w:b/>
            </w:rPr>
            <w:fldChar w:fldCharType="separate"/>
          </w:r>
          <w:r>
            <w:rPr>
              <w:sz w:val="18"/>
              <w:b/>
            </w:rPr>
            <w:t>1</w:t>
          </w:r>
          <w:r>
            <w:rPr>
              <w:sz w:val="18"/>
              <w:b/>
            </w:rPr>
            <w:fldChar w:fldCharType="end"/>
          </w:r>
          <w:r>
            <w:rPr>
              <w:sz w:val="18"/>
            </w:rPr>
            <w:t xml:space="preserve"> </w:t>
          </w:r>
          <w:r>
            <w:rPr>
              <w:sz w:val="18"/>
            </w:rPr>
            <w:t>din</w:t>
          </w:r>
          <w:r>
            <w:rPr>
              <w:sz w:val="18"/>
            </w:rPr>
            <w:t xml:space="preserve"> </w:t>
          </w:r>
          <w:r>
            <w:rPr>
              <w:b/>
              <w:sz w:val="18"/>
            </w:rPr>
            <w:fldChar w:fldCharType="begin"/>
          </w:r>
          <w:r>
            <w:rPr>
              <w:sz w:val="18"/>
              <w:b/>
            </w:rPr>
            <w:instrText xml:space="preserve"> NUMPAGES </w:instrText>
          </w:r>
          <w:r>
            <w:rPr>
              <w:sz w:val="18"/>
              <w:b/>
            </w:rPr>
            <w:fldChar w:fldCharType="separate"/>
          </w:r>
          <w:r>
            <w:rPr>
              <w:sz w:val="18"/>
              <w:b/>
            </w:rPr>
            <w:t>2</w:t>
          </w:r>
          <w:r>
            <w:rPr>
              <w:sz w:val="18"/>
              <w:b/>
            </w:rPr>
            <w:fldChar w:fldCharType="end"/>
          </w:r>
        </w:p>
      </w:tc>
    </w:tr>
  </w:tbl>
  <w:p>
    <w:pPr>
      <w:pStyle w:val="Normal"/>
      <w:spacing w:before="0" w:after="0"/>
      <w:jc w:val="center"/>
      <w:rPr>
        <w:sz w:val="16"/>
        <w:szCs w:val="16"/>
      </w:rPr>
    </w:pPr>
    <w:r>
      <w:rPr>
        <w:sz w:val="16"/>
      </w:rPr>
      <w:t xml:space="preserve">©2024 Acest șablon poate fi utilizat de către clienții CloudSentinel în conformitate cu Acordul de Licență. </w:t>
    </w:r>
    <w:r>
      <w:rPr>
        <w:rStyle w:val="Hyperlink"/>
        <w:sz w:val="16"/>
      </w:rPr>
      <w:t>www.cloudsentinel.com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2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652"/>
      <w:gridCol w:w="2268"/>
      <w:gridCol w:w="3402"/>
    </w:tblGrid>
    <w:tr>
      <w:trPr/>
      <w:tc>
        <w:tcPr>
          <w:tcW w:w="3652" w:type="dxa"/>
          <w:tcBorders>
            <w:top w:val="single" w:sz="4" w:space="0" w:color="000000"/>
          </w:tcBorders>
        </w:tcPr>
        <w:p>
          <w:pPr>
            <w:pStyle w:val="Footer"/>
            <w:spacing w:before="0" w:after="200"/>
            <w:rPr>
              <w:sz w:val="18"/>
              <w:szCs w:val="18"/>
            </w:rPr>
          </w:pPr>
          <w:r>
            <w:rPr>
              <w:sz w:val="18"/>
            </w:rPr>
            <w:t>Procesului de Revizuire a Managementului</w:t>
          </w:r>
        </w:p>
      </w:tc>
      <w:tc>
        <w:tcPr>
          <w:tcW w:w="2268" w:type="dxa"/>
          <w:tcBorders>
            <w:top w:val="single" w:sz="4" w:space="0" w:color="000000"/>
          </w:tcBorders>
        </w:tcPr>
        <w:p>
          <w:pPr>
            <w:pStyle w:val="Footer"/>
            <w:spacing w:before="0" w:after="200"/>
            <w:jc w:val="center"/>
            <w:rPr>
              <w:sz w:val="18"/>
              <w:szCs w:val="18"/>
            </w:rPr>
          </w:pPr>
          <w:r>
            <w:rPr>
              <w:sz w:val="18"/>
            </w:rPr>
            <w:t xml:space="preserve">Ver </w:t>
          </w:r>
          <w:r>
            <w:rPr>
              <w:sz w:val="18"/>
            </w:rPr>
            <w:t>0.1a</w:t>
          </w:r>
          <w:r>
            <w:rPr>
              <w:sz w:val="18"/>
            </w:rPr>
            <w:t xml:space="preserve"> de la  </w:t>
          </w:r>
          <w:r>
            <w:rPr>
              <w:sz w:val="18"/>
            </w:rPr>
            <w:t>02</w:t>
          </w:r>
          <w:r>
            <w:rPr>
              <w:sz w:val="18"/>
              <w:lang w:val="en-US"/>
            </w:rPr>
            <w:t>.06.2024</w:t>
          </w:r>
        </w:p>
      </w:tc>
      <w:tc>
        <w:tcPr>
          <w:tcW w:w="3402" w:type="dxa"/>
          <w:tcBorders>
            <w:top w:val="single" w:sz="4" w:space="0" w:color="000000"/>
          </w:tcBorders>
        </w:tcPr>
        <w:p>
          <w:pPr>
            <w:pStyle w:val="Footer"/>
            <w:spacing w:before="0" w:after="200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>Pag</w:t>
          </w:r>
          <w:r>
            <w:rPr>
              <w:sz w:val="18"/>
            </w:rPr>
            <w:t>ina</w:t>
          </w:r>
          <w:r>
            <w:rPr>
              <w:sz w:val="18"/>
            </w:rPr>
            <w:t xml:space="preserve"> </w:t>
          </w:r>
          <w:r>
            <w:rPr>
              <w:b/>
              <w:sz w:val="18"/>
            </w:rPr>
            <w:fldChar w:fldCharType="begin"/>
          </w:r>
          <w:r>
            <w:rPr>
              <w:sz w:val="18"/>
              <w:b/>
            </w:rPr>
            <w:instrText xml:space="preserve"> PAGE </w:instrText>
          </w:r>
          <w:r>
            <w:rPr>
              <w:sz w:val="18"/>
              <w:b/>
            </w:rPr>
            <w:fldChar w:fldCharType="separate"/>
          </w:r>
          <w:r>
            <w:rPr>
              <w:sz w:val="18"/>
              <w:b/>
            </w:rPr>
            <w:t>1</w:t>
          </w:r>
          <w:r>
            <w:rPr>
              <w:sz w:val="18"/>
              <w:b/>
            </w:rPr>
            <w:fldChar w:fldCharType="end"/>
          </w:r>
          <w:r>
            <w:rPr>
              <w:sz w:val="18"/>
            </w:rPr>
            <w:t xml:space="preserve"> </w:t>
          </w:r>
          <w:r>
            <w:rPr>
              <w:sz w:val="18"/>
            </w:rPr>
            <w:t>din</w:t>
          </w:r>
          <w:r>
            <w:rPr>
              <w:sz w:val="18"/>
            </w:rPr>
            <w:t xml:space="preserve"> </w:t>
          </w:r>
          <w:r>
            <w:rPr>
              <w:b/>
              <w:sz w:val="18"/>
            </w:rPr>
            <w:fldChar w:fldCharType="begin"/>
          </w:r>
          <w:r>
            <w:rPr>
              <w:sz w:val="18"/>
              <w:b/>
            </w:rPr>
            <w:instrText xml:space="preserve"> NUMPAGES </w:instrText>
          </w:r>
          <w:r>
            <w:rPr>
              <w:sz w:val="18"/>
              <w:b/>
            </w:rPr>
            <w:fldChar w:fldCharType="separate"/>
          </w:r>
          <w:r>
            <w:rPr>
              <w:sz w:val="18"/>
              <w:b/>
            </w:rPr>
            <w:t>2</w:t>
          </w:r>
          <w:r>
            <w:rPr>
              <w:sz w:val="18"/>
              <w:b/>
            </w:rPr>
            <w:fldChar w:fldCharType="end"/>
          </w:r>
        </w:p>
      </w:tc>
    </w:tr>
  </w:tbl>
  <w:p>
    <w:pPr>
      <w:pStyle w:val="Normal"/>
      <w:spacing w:before="0" w:after="0"/>
      <w:jc w:val="center"/>
      <w:rPr>
        <w:sz w:val="16"/>
        <w:szCs w:val="16"/>
      </w:rPr>
    </w:pPr>
    <w:r>
      <w:rPr>
        <w:sz w:val="16"/>
      </w:rPr>
      <w:t xml:space="preserve">©2024 Acest șablon poate fi utilizat de către clienții CloudSentinel în conformitate cu Acordul de Licență. </w:t>
    </w:r>
    <w:r>
      <w:rPr>
        <w:rStyle w:val="Hyperlink"/>
        <w:sz w:val="16"/>
      </w:rPr>
      <w:t>www.cloudsentinel.com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70"/>
      <w:gridCol w:w="2517"/>
    </w:tblGrid>
    <w:tr>
      <w:trPr/>
      <w:tc>
        <w:tcPr>
          <w:tcW w:w="6770" w:type="dxa"/>
          <w:tcBorders>
            <w:bottom w:val="single" w:sz="4" w:space="0" w:color="000000"/>
          </w:tcBorders>
        </w:tcPr>
        <w:p>
          <w:pPr>
            <w:pStyle w:val="Header"/>
            <w:spacing w:before="0" w:after="0"/>
            <w:rPr>
              <w:sz w:val="20"/>
              <w:szCs w:val="20"/>
            </w:rPr>
          </w:pPr>
          <w:r>
            <w:rPr>
              <w:sz w:val="20"/>
            </w:rPr>
            <w:t>CloudSentinel</w:t>
          </w:r>
        </w:p>
      </w:tc>
      <w:tc>
        <w:tcPr>
          <w:tcW w:w="2517" w:type="dxa"/>
          <w:tcBorders>
            <w:bottom w:val="single" w:sz="4" w:space="0" w:color="000000"/>
          </w:tcBorders>
        </w:tcPr>
        <w:p>
          <w:pPr>
            <w:pStyle w:val="Header"/>
            <w:spacing w:before="0" w:after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Secret</w:t>
          </w:r>
        </w:p>
      </w:tc>
    </w:tr>
  </w:tbl>
  <w:p>
    <w:pPr>
      <w:pStyle w:val="Header"/>
      <w:spacing w:before="0" w:after="0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70"/>
      <w:gridCol w:w="2517"/>
    </w:tblGrid>
    <w:tr>
      <w:trPr/>
      <w:tc>
        <w:tcPr>
          <w:tcW w:w="6770" w:type="dxa"/>
          <w:tcBorders>
            <w:bottom w:val="single" w:sz="4" w:space="0" w:color="000000"/>
          </w:tcBorders>
        </w:tcPr>
        <w:p>
          <w:pPr>
            <w:pStyle w:val="Header"/>
            <w:spacing w:before="0" w:after="0"/>
            <w:rPr>
              <w:sz w:val="20"/>
              <w:szCs w:val="20"/>
            </w:rPr>
          </w:pPr>
          <w:r>
            <w:rPr>
              <w:sz w:val="20"/>
            </w:rPr>
            <w:t>CloudSentinel</w:t>
          </w:r>
        </w:p>
      </w:tc>
      <w:tc>
        <w:tcPr>
          <w:tcW w:w="2517" w:type="dxa"/>
          <w:tcBorders>
            <w:bottom w:val="single" w:sz="4" w:space="0" w:color="000000"/>
          </w:tcBorders>
        </w:tcPr>
        <w:p>
          <w:pPr>
            <w:pStyle w:val="Header"/>
            <w:spacing w:before="0" w:after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Secret</w:t>
          </w:r>
        </w:p>
      </w:tc>
    </w:tr>
  </w:tbl>
  <w:p>
    <w:pPr>
      <w:pStyle w:val="Header"/>
      <w:spacing w:before="0" w:after="0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isLgl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pStyle w:val="Heading3"/>
      <w:isLgl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hr-HR" w:eastAsia="hr-H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3a4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ilvl w:val="0"/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961e0"/>
    <w:rPr>
      <w:sz w:val="22"/>
      <w:szCs w:val="22"/>
      <w:lang w:val="en-GB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b37f7"/>
    <w:rPr>
      <w:b/>
      <w:sz w:val="28"/>
      <w:szCs w:val="28"/>
      <w:lang w:val="en-GB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03ed2"/>
    <w:rPr>
      <w:sz w:val="16"/>
      <w:szCs w:val="16"/>
      <w:lang w:val="en-GB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903ed2"/>
    <w:rPr>
      <w:lang w:val="en-GB" w:eastAsia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03ed2"/>
    <w:rPr>
      <w:b/>
      <w:bCs/>
      <w:lang w:val="en-GB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3ed2"/>
    <w:rPr>
      <w:rFonts w:ascii="Tahoma" w:hAnsi="Tahoma" w:cs="Tahoma"/>
      <w:sz w:val="16"/>
      <w:szCs w:val="16"/>
      <w:lang w:val="en-GB"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f7719"/>
    <w:rPr>
      <w:b/>
      <w:sz w:val="24"/>
      <w:szCs w:val="24"/>
      <w:lang w:val="en-GB" w:eastAsia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73ce6"/>
    <w:rPr>
      <w:b/>
      <w:i/>
      <w:sz w:val="22"/>
      <w:szCs w:val="22"/>
      <w:lang w:val="en-GB" w:eastAsia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nhideWhenUsed/>
    <w:rsid w:val="00f961e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03e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03ed2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3e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before="0"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before="0"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before="0" w:after="0"/>
      <w:ind w:left="1760"/>
    </w:pPr>
    <w:rPr>
      <w:sz w:val="18"/>
      <w:szCs w:val="18"/>
    </w:rPr>
  </w:style>
  <w:style w:type="paragraph" w:styleId="Revision">
    <w:name w:val="Revision"/>
    <w:uiPriority w:val="99"/>
    <w:semiHidden/>
    <w:qFormat/>
    <w:rsid w:val="00a76be0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384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B3BD1-6B5E-41EC-91A7-B804D505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LibreOffice/24.2.3.2$Linux_X86_64 LibreOffice_project/4f88f79086d18691a72ac668802d5bc5b5a88122</Application>
  <AppVersion>15.0000</AppVersion>
  <Pages>2</Pages>
  <Words>400</Words>
  <Characters>2555</Characters>
  <CharactersWithSpaces>2901</CharactersWithSpaces>
  <Paragraphs>36</Paragraphs>
  <Company>EPPS Services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2015-03-28T19:24:00Z</dcterms:created>
  <dc:creator>Dejan Kosutic</dc:creator>
  <dc:description>©2015 This template may be used by clients of EPPS Services Ltd. www.iso27001standard.com in accordance with the Licence Agreement.</dc:description>
  <dc:language>en-US</dc:language>
  <cp:lastModifiedBy/>
  <dcterms:modified xsi:type="dcterms:W3CDTF">2024-06-05T17:01:17Z</dcterms:modified>
  <cp:revision>6</cp:revision>
  <dc:subject/>
  <dc:title>Management Review Minutes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