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lang w:val="en-US"/>
        </w:rPr>
      </w:pPr>
      <w:r>
        <w:rPr>
          <w:u w:val="single"/>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42890" cy="2332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42890" cy="233299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lang w:val="en-US"/>
        </w:rPr>
      </w:pPr>
      <w:r>
        <w:rPr>
          <w:lang w:val="en-US"/>
        </w:rPr>
      </w:r>
    </w:p>
    <w:p>
      <w:pPr>
        <w:pStyle w:val="Normal"/>
        <w:jc w:val="center"/>
        <w:rPr>
          <w:rFonts w:ascii="Times New Roman" w:hAnsi="Times New Roman"/>
          <w:b/>
          <w:bCs/>
          <w:sz w:val="32"/>
          <w:szCs w:val="32"/>
        </w:rPr>
      </w:pPr>
      <w:r>
        <w:rPr>
          <w:rFonts w:ascii="Times New Roman" w:hAnsi="Times New Roman"/>
          <w:b/>
          <w:bCs/>
          <w:sz w:val="32"/>
          <w:szCs w:val="32"/>
          <w:lang w:val="en-US"/>
        </w:rPr>
        <w:t>S.R.L “CloudSentinel”</w:t>
      </w:r>
    </w:p>
    <w:p>
      <w:pPr>
        <w:pStyle w:val="Normal"/>
        <w:jc w:val="center"/>
        <w:rPr>
          <w:lang w:val="en-US"/>
        </w:rPr>
      </w:pPr>
      <w:r>
        <w:rPr>
          <w:lang w:val="en-US"/>
        </w:rPr>
      </w:r>
    </w:p>
    <w:p>
      <w:pPr>
        <w:pStyle w:val="Normal"/>
        <w:jc w:val="center"/>
        <w:rPr>
          <w:lang w:val="en-US"/>
        </w:rPr>
      </w:pPr>
      <w:r>
        <w:rPr>
          <w:lang w:val="en-US"/>
        </w:rPr>
      </w:r>
    </w:p>
    <w:p>
      <w:pPr>
        <w:pStyle w:val="Normal"/>
        <w:jc w:val="center"/>
        <w:rPr>
          <w:b/>
          <w:sz w:val="32"/>
          <w:szCs w:val="32"/>
          <w:lang w:val="en-US"/>
        </w:rPr>
      </w:pPr>
      <w:r>
        <w:rPr>
          <w:b/>
          <w:sz w:val="32"/>
          <w:lang w:val="en-US"/>
        </w:rPr>
        <w:t>PROCEDURA DE IDENTIFICARE A CERINȚELOR</w:t>
      </w:r>
    </w:p>
    <w:p>
      <w:pPr>
        <w:pStyle w:val="Normal"/>
        <w:jc w:val="center"/>
        <w:rPr>
          <w:lang w:val="en-US"/>
        </w:rPr>
      </w:pPr>
      <w:r>
        <w:rPr>
          <w:lang w:val="en-US"/>
        </w:rPr>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4"/>
        <w:gridCol w:w="6913"/>
      </w:tblGrid>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Cod:</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PIC-01</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Versiune</w:t>
            </w:r>
            <w:r>
              <w:rPr>
                <w:lang w:val="en-US"/>
              </w:rPr>
              <w:t>:</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w:t>
            </w:r>
            <w:r>
              <w:rPr>
                <w:lang w:val="en-US"/>
              </w:rPr>
              <w:t>4.1a</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Dat</w:t>
            </w:r>
            <w:r>
              <w:rPr>
                <w:lang w:val="en-US"/>
              </w:rPr>
              <w:t>a versiunii</w:t>
            </w:r>
            <w:r>
              <w:rPr>
                <w:lang w:val="en-US"/>
              </w:rPr>
              <w:t>:</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01.04.2024</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Created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Chihai Adrian</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Approved by:</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Boboc Sandu</w:t>
            </w:r>
          </w:p>
        </w:tc>
      </w:tr>
      <w:tr>
        <w:trPr/>
        <w:tc>
          <w:tcPr>
            <w:tcW w:w="2374" w:type="dxa"/>
            <w:tcBorders>
              <w:top w:val="single" w:sz="4" w:space="0" w:color="000000"/>
              <w:bottom w:val="single" w:sz="4" w:space="0" w:color="000000"/>
              <w:right w:val="single" w:sz="4" w:space="0" w:color="000000"/>
            </w:tcBorders>
          </w:tcPr>
          <w:p>
            <w:pPr>
              <w:pStyle w:val="Normal"/>
              <w:spacing w:before="0" w:after="200"/>
              <w:rPr>
                <w:lang w:val="en-US"/>
              </w:rPr>
            </w:pPr>
            <w:r>
              <w:rPr>
                <w:lang w:val="en-US"/>
              </w:rPr>
              <w:t>Confidentiality level:</w:t>
            </w:r>
          </w:p>
        </w:tc>
        <w:tc>
          <w:tcPr>
            <w:tcW w:w="6913" w:type="dxa"/>
            <w:tcBorders>
              <w:top w:val="single" w:sz="4" w:space="0" w:color="000000"/>
              <w:left w:val="single" w:sz="4" w:space="0" w:color="000000"/>
              <w:bottom w:val="single" w:sz="4" w:space="0" w:color="000000"/>
            </w:tcBorders>
          </w:tcPr>
          <w:p>
            <w:pPr>
              <w:pStyle w:val="Normal"/>
              <w:spacing w:before="0" w:after="200"/>
              <w:jc w:val="center"/>
              <w:rPr>
                <w:lang w:val="en-US"/>
              </w:rPr>
            </w:pPr>
            <w:r>
              <w:rPr>
                <w:lang w:val="en-US"/>
              </w:rPr>
              <w:t>Confidential</w:t>
            </w:r>
          </w:p>
        </w:tc>
      </w:tr>
    </w:tbl>
    <w:p>
      <w:pPr>
        <w:pStyle w:val="Normal"/>
        <w:rPr>
          <w:lang w:val="en-US"/>
        </w:rPr>
      </w:pPr>
      <w:r>
        <w:rPr>
          <w:lang w:val="en-US"/>
        </w:rPr>
      </w:r>
      <w:r>
        <w:br w:type="page"/>
      </w:r>
    </w:p>
    <w:p>
      <w:pPr>
        <w:pStyle w:val="Normal"/>
        <w:spacing w:before="0" w:after="200"/>
        <w:rPr>
          <w:b/>
          <w:sz w:val="28"/>
          <w:szCs w:val="28"/>
          <w:lang w:val="en-US"/>
        </w:rPr>
      </w:pPr>
      <w:r>
        <w:rPr>
          <w:b/>
          <w:sz w:val="28"/>
          <w:lang w:val="en-US"/>
        </w:rPr>
        <w:t>Istoricul modificărilor</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2"/>
        <w:gridCol w:w="992"/>
        <w:gridCol w:w="1562"/>
        <w:gridCol w:w="5351"/>
      </w:tblGrid>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Date</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Version</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Created by</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b/>
                <w:lang w:val="en-US"/>
              </w:rPr>
            </w:pPr>
            <w:r>
              <w:rPr>
                <w:b/>
                <w:lang w:val="en-US"/>
              </w:rPr>
              <w:t>Description of change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2024-04-01</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0.1</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jc w:val="left"/>
              <w:rPr>
                <w:lang w:val="en-US"/>
              </w:rPr>
            </w:pPr>
            <w:r>
              <w:rPr>
                <w:lang w:val="en-US"/>
              </w:rPr>
              <w:t>Chirita Stanislav</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Schiță de bază a documentului</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2024-04-02</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0.2</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Vozian Vladimir</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Introducere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2024-04-03</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0.3</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Vozian Vladimir</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Adăugată secțiunea Concluzie</w:t>
            </w:r>
          </w:p>
        </w:tc>
      </w:tr>
      <w:tr>
        <w:trPr/>
        <w:tc>
          <w:tcPr>
            <w:tcW w:w="138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2024-04-04</w:t>
            </w:r>
          </w:p>
        </w:tc>
        <w:tc>
          <w:tcPr>
            <w:tcW w:w="99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0.4</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Chihai Andrian</w:t>
            </w:r>
          </w:p>
        </w:tc>
        <w:tc>
          <w:tcPr>
            <w:tcW w:w="5351"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Inserată bibliografie și formatare îmbunătățită</w:t>
            </w:r>
          </w:p>
        </w:tc>
      </w:tr>
    </w:tbl>
    <w:p>
      <w:pPr>
        <w:pStyle w:val="Normal"/>
        <w:rPr>
          <w:lang w:val="en-US"/>
        </w:rPr>
      </w:pPr>
      <w:r>
        <w:rPr>
          <w:lang w:val="en-US"/>
        </w:rPr>
      </w:r>
    </w:p>
    <w:p>
      <w:pPr>
        <w:pStyle w:val="Normal"/>
        <w:rPr>
          <w:lang w:val="en-US"/>
        </w:rPr>
      </w:pPr>
      <w:r>
        <w:rPr>
          <w:lang w:val="en-US"/>
        </w:rPr>
      </w:r>
    </w:p>
    <w:p>
      <w:pPr>
        <w:pStyle w:val="Normal"/>
        <w:bidi w:val="0"/>
        <w:rPr>
          <w:b/>
          <w:sz w:val="28"/>
          <w:szCs w:val="28"/>
          <w:lang w:val="en-US"/>
        </w:rPr>
      </w:pPr>
      <w:bookmarkStart w:id="0" w:name="_GoBack"/>
      <w:bookmarkEnd w:id="0"/>
      <w:r>
        <w:rPr>
          <w:b/>
          <w:sz w:val="28"/>
          <w:lang w:val="en-US"/>
        </w:rPr>
        <w:t>Cupris</w:t>
      </w:r>
    </w:p>
    <w:sdt>
      <w:sdtPr>
        <w:docPartObj>
          <w:docPartGallery w:val="Table of Contents"/>
          <w:docPartUnique w:val="true"/>
        </w:docPartObj>
      </w:sdtPr>
      <w:sdtContent>
        <w:p>
          <w:pPr>
            <w:pStyle w:val="TOC1"/>
            <w:tabs>
              <w:tab w:val="clear" w:pos="708"/>
              <w:tab w:val="left" w:pos="440" w:leader="none"/>
              <w:tab w:val="right" w:pos="9072" w:leader="dot"/>
            </w:tabs>
            <w:rPr/>
          </w:pPr>
          <w:r>
            <w:fldChar w:fldCharType="begin"/>
          </w:r>
          <w:r>
            <w:rPr>
              <w:webHidden/>
              <w:rStyle w:val="IndexLink"/>
            </w:rPr>
            <w:instrText xml:space="preserve"> TOC \z \o "1-3" \u \h</w:instrText>
          </w:r>
          <w:r>
            <w:rPr>
              <w:webHidden/>
              <w:rStyle w:val="IndexLink"/>
            </w:rPr>
            <w:fldChar w:fldCharType="separate"/>
          </w:r>
          <w:hyperlink w:anchor="__RefHeading___Toc2565_3460912053">
            <w:r>
              <w:rPr>
                <w:webHidden/>
                <w:rStyle w:val="IndexLink"/>
              </w:rPr>
              <w:t>1.</w:t>
              <w:tab/>
              <w:t>Scop, domeniu de aplicare și utilizatori</w:t>
              <w:tab/>
              <w:t>3</w:t>
            </w:r>
          </w:hyperlink>
        </w:p>
        <w:p>
          <w:pPr>
            <w:pStyle w:val="TOC1"/>
            <w:tabs>
              <w:tab w:val="clear" w:pos="708"/>
              <w:tab w:val="left" w:pos="440" w:leader="none"/>
              <w:tab w:val="right" w:pos="9072" w:leader="dot"/>
            </w:tabs>
            <w:rPr/>
          </w:pPr>
          <w:hyperlink w:anchor="__RefHeading___Toc2567_3460912053">
            <w:r>
              <w:rPr>
                <w:webHidden/>
                <w:rStyle w:val="IndexLink"/>
              </w:rPr>
              <w:t>2.</w:t>
              <w:tab/>
              <w:t>Documente de referință</w:t>
              <w:tab/>
              <w:t>3</w:t>
            </w:r>
          </w:hyperlink>
        </w:p>
        <w:p>
          <w:pPr>
            <w:pStyle w:val="TOC1"/>
            <w:tabs>
              <w:tab w:val="clear" w:pos="708"/>
              <w:tab w:val="left" w:pos="440" w:leader="none"/>
              <w:tab w:val="right" w:pos="9072" w:leader="dot"/>
            </w:tabs>
            <w:rPr/>
          </w:pPr>
          <w:hyperlink w:anchor="__RefHeading___Toc2569_3460912053">
            <w:r>
              <w:rPr>
                <w:webHidden/>
                <w:rStyle w:val="IndexLink"/>
              </w:rPr>
              <w:t>3.</w:t>
              <w:tab/>
              <w:t>Identificarea cerințelor și a părților interesate</w:t>
              <w:tab/>
              <w:t>3</w:t>
            </w:r>
          </w:hyperlink>
        </w:p>
        <w:p>
          <w:pPr>
            <w:pStyle w:val="TOC1"/>
            <w:tabs>
              <w:tab w:val="clear" w:pos="708"/>
              <w:tab w:val="left" w:pos="440" w:leader="none"/>
              <w:tab w:val="right" w:pos="9072" w:leader="dot"/>
            </w:tabs>
            <w:rPr/>
          </w:pPr>
          <w:hyperlink w:anchor="__RefHeading___Toc2571_3460912053">
            <w:r>
              <w:rPr>
                <w:webHidden/>
                <w:rStyle w:val="IndexLink"/>
              </w:rPr>
              <w:t>4.</w:t>
              <w:tab/>
              <w:t>Revizuire și evaluare</w:t>
              <w:tab/>
              <w:t>4</w:t>
            </w:r>
          </w:hyperlink>
        </w:p>
        <w:p>
          <w:pPr>
            <w:pStyle w:val="TOC1"/>
            <w:tabs>
              <w:tab w:val="clear" w:pos="708"/>
              <w:tab w:val="left" w:pos="440" w:leader="none"/>
              <w:tab w:val="right" w:pos="9072" w:leader="dot"/>
            </w:tabs>
            <w:rPr/>
          </w:pPr>
          <w:hyperlink w:anchor="__RefHeading___Toc2573_3460912053">
            <w:r>
              <w:rPr>
                <w:webHidden/>
                <w:rStyle w:val="IndexLink"/>
              </w:rPr>
              <w:t>5.</w:t>
              <w:tab/>
              <w:t>Gestionarea înregistrărilor păstrate pe baza acestui document</w:t>
              <w:tab/>
              <w:t>4</w:t>
            </w:r>
          </w:hyperlink>
        </w:p>
        <w:p>
          <w:pPr>
            <w:pStyle w:val="TOC1"/>
            <w:tabs>
              <w:tab w:val="clear" w:pos="708"/>
              <w:tab w:val="left" w:pos="440" w:leader="none"/>
              <w:tab w:val="right" w:pos="9072" w:leader="dot"/>
            </w:tabs>
            <w:rPr/>
          </w:pPr>
          <w:hyperlink w:anchor="__RefHeading___Toc2575_3460912053">
            <w:r>
              <w:rPr>
                <w:webHidden/>
                <w:rStyle w:val="IndexLink"/>
              </w:rPr>
              <w:t>6.</w:t>
              <w:tab/>
              <w:t>Valabilitatea și managementul documentelor</w:t>
              <w:tab/>
              <w:t>4</w:t>
            </w:r>
          </w:hyperlink>
        </w:p>
        <w:p>
          <w:pPr>
            <w:pStyle w:val="TOC1"/>
            <w:tabs>
              <w:tab w:val="clear" w:pos="708"/>
              <w:tab w:val="left" w:pos="440" w:leader="none"/>
              <w:tab w:val="right" w:pos="9072" w:leader="dot"/>
            </w:tabs>
            <w:rPr/>
          </w:pPr>
          <w:hyperlink w:anchor="__RefHeading___Toc2577_3460912053">
            <w:r>
              <w:rPr>
                <w:webHidden/>
                <w:rStyle w:val="IndexLink"/>
              </w:rPr>
              <w:t>7.</w:t>
              <w:tab/>
              <w:t>Anexe</w:t>
              <w:tab/>
              <w:t>5</w:t>
            </w:r>
          </w:hyperlink>
          <w:r>
            <w:rPr>
              <w:rStyle w:val="IndexLink"/>
            </w:rPr>
            <w:fldChar w:fldCharType="end"/>
          </w:r>
        </w:p>
      </w:sdtContent>
    </w:sdt>
    <w:p>
      <w:pPr>
        <w:pStyle w:val="Normal"/>
        <w:rPr>
          <w:lang w:val="en-US"/>
        </w:rPr>
      </w:pPr>
      <w:r>
        <w:rPr>
          <w:lang w:val="en-US"/>
        </w:rPr>
      </w:r>
    </w:p>
    <w:p>
      <w:pPr>
        <w:pStyle w:val="TOC1"/>
        <w:tabs>
          <w:tab w:val="clear" w:pos="708"/>
          <w:tab w:val="left" w:pos="440" w:leader="none"/>
          <w:tab w:val="right" w:pos="9062" w:leader="dot"/>
        </w:tabs>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Heading1"/>
        <w:spacing w:before="0" w:after="200"/>
        <w:rPr>
          <w:lang w:val="en-US"/>
        </w:rPr>
      </w:pPr>
      <w:bookmarkStart w:id="1" w:name="__RefHeading___Toc2565_3460912053"/>
      <w:bookmarkEnd w:id="1"/>
      <w:r>
        <w:rPr>
          <w:lang w:val="en-US"/>
        </w:rPr>
        <w:t>Scop, domeniu de aplicare și utilizatori</w:t>
      </w:r>
    </w:p>
    <w:p>
      <w:pPr>
        <w:pStyle w:val="Normal"/>
        <w:rPr>
          <w:lang w:val="en-US"/>
        </w:rPr>
      </w:pPr>
      <w:r>
        <w:rPr>
          <w:lang w:val="en-US"/>
        </w:rPr>
        <w:t>Scopul acestui document este de a defini procesul de identificare a părților interesate, precum și cerințele legale, de reglementare, contractuale și alte cerințe legate de securitatea informațiilor și continuitatea afacerii, și responsabilitățile pentru îndeplinirea acestora.</w:t>
      </w:r>
    </w:p>
    <w:p>
      <w:pPr>
        <w:pStyle w:val="Normal"/>
        <w:rPr>
          <w:lang w:val="en-US"/>
        </w:rPr>
      </w:pPr>
      <w:r>
        <w:rPr>
          <w:lang w:val="en-US"/>
        </w:rPr>
        <w:t>Acest document se aplică întregului Sistem de Management al Securității Informațiilor (ISMS).</w:t>
      </w:r>
    </w:p>
    <w:p>
      <w:pPr>
        <w:pStyle w:val="Normal"/>
        <w:rPr>
          <w:lang w:val="en-US"/>
        </w:rPr>
      </w:pPr>
      <w:r>
        <w:rPr>
          <w:lang w:val="en-US"/>
        </w:rPr>
        <w:t>Utilizatorii acestui document sunt toți angajații CloudSentinel.</w:t>
      </w:r>
    </w:p>
    <w:p>
      <w:pPr>
        <w:pStyle w:val="Normal"/>
        <w:rPr>
          <w:lang w:val="en-US"/>
        </w:rPr>
      </w:pPr>
      <w:r>
        <w:rPr>
          <w:lang w:val="en-US"/>
        </w:rPr>
      </w:r>
    </w:p>
    <w:p>
      <w:pPr>
        <w:pStyle w:val="Heading1"/>
        <w:rPr>
          <w:lang w:val="en-US"/>
        </w:rPr>
      </w:pPr>
      <w:bookmarkStart w:id="2" w:name="__RefHeading___Toc2567_3460912053"/>
      <w:bookmarkStart w:id="3" w:name="_Toc415648116"/>
      <w:bookmarkStart w:id="4" w:name="_Toc324421327"/>
      <w:bookmarkStart w:id="5" w:name="_Toc265344797"/>
      <w:bookmarkEnd w:id="2"/>
      <w:r>
        <w:rPr>
          <w:lang w:val="en-US"/>
        </w:rPr>
        <w:t>D</w:t>
      </w:r>
      <w:bookmarkEnd w:id="3"/>
      <w:bookmarkEnd w:id="4"/>
      <w:bookmarkEnd w:id="5"/>
      <w:r>
        <w:rPr>
          <w:lang w:val="en-US"/>
        </w:rPr>
        <w:t>ocumente de referință</w:t>
      </w:r>
    </w:p>
    <w:p>
      <w:pPr>
        <w:pStyle w:val="Normal"/>
        <w:numPr>
          <w:ilvl w:val="0"/>
          <w:numId w:val="2"/>
        </w:numPr>
        <w:spacing w:before="0" w:after="0"/>
        <w:rPr>
          <w:lang w:val="en-US"/>
        </w:rPr>
      </w:pPr>
      <w:r>
        <w:rPr>
          <w:lang w:val="en-US"/>
        </w:rPr>
        <w:t xml:space="preserve"> </w:t>
      </w:r>
      <w:r>
        <w:rPr>
          <w:lang w:val="en-US"/>
        </w:rPr>
        <w:t>Standardul ISO/IEC 27001, clauza 4.2; controlul A.18.1.1</w:t>
      </w:r>
    </w:p>
    <w:p>
      <w:pPr>
        <w:pStyle w:val="Normal"/>
        <w:numPr>
          <w:ilvl w:val="0"/>
          <w:numId w:val="2"/>
        </w:numPr>
        <w:spacing w:before="0" w:after="0"/>
        <w:rPr>
          <w:lang w:val="en-US"/>
        </w:rPr>
      </w:pPr>
      <w:r>
        <w:rPr>
          <w:lang w:val="en-US"/>
        </w:rPr>
        <w:t xml:space="preserve"> </w:t>
      </w:r>
      <w:r>
        <w:rPr>
          <w:lang w:val="en-US"/>
        </w:rPr>
        <w:t>Standardul ISO 22301, clauza 4.2</w:t>
      </w:r>
    </w:p>
    <w:p>
      <w:pPr>
        <w:pStyle w:val="Normal"/>
        <w:numPr>
          <w:ilvl w:val="0"/>
          <w:numId w:val="2"/>
        </w:numPr>
        <w:spacing w:before="0" w:after="0"/>
        <w:rPr>
          <w:lang w:val="en-US"/>
        </w:rPr>
      </w:pPr>
      <w:r>
        <w:rPr>
          <w:lang w:val="en-US"/>
        </w:rPr>
        <w:t xml:space="preserve"> </w:t>
      </w:r>
      <w:r>
        <w:rPr>
          <w:lang w:val="en-US"/>
        </w:rPr>
        <w:t>Politica Sistemului de Management al Securității Informațiilor</w:t>
      </w:r>
    </w:p>
    <w:p>
      <w:pPr>
        <w:pStyle w:val="Normal"/>
        <w:numPr>
          <w:ilvl w:val="0"/>
          <w:numId w:val="2"/>
        </w:numPr>
        <w:spacing w:before="0" w:after="0"/>
        <w:rPr>
          <w:lang w:val="en-US"/>
        </w:rPr>
      </w:pPr>
      <w:r>
        <w:rPr>
          <w:lang w:val="en-US"/>
        </w:rPr>
        <w:t xml:space="preserve"> </w:t>
      </w:r>
      <w:r>
        <w:rPr>
          <w:lang w:val="en-US"/>
        </w:rPr>
        <w:t>Politica de Continuitate a Afacerii</w:t>
      </w:r>
    </w:p>
    <w:p>
      <w:pPr>
        <w:pStyle w:val="Normal"/>
        <w:rPr>
          <w:lang w:val="en-US"/>
        </w:rPr>
      </w:pPr>
      <w:r>
        <w:rPr>
          <w:lang w:val="en-US"/>
        </w:rPr>
      </w:r>
    </w:p>
    <w:p>
      <w:pPr>
        <w:pStyle w:val="Heading1"/>
        <w:rPr>
          <w:lang w:val="en-US"/>
        </w:rPr>
      </w:pPr>
      <w:bookmarkStart w:id="6" w:name="__RefHeading___Toc2569_3460912053"/>
      <w:bookmarkEnd w:id="6"/>
      <w:r>
        <w:rPr>
          <w:lang w:val="en-US"/>
        </w:rPr>
        <w:t>Identificarea cerințelor și a părților interesate</w:t>
      </w:r>
    </w:p>
    <w:p>
      <w:pPr>
        <w:pStyle w:val="Normal"/>
        <w:rPr>
          <w:lang w:val="en-US"/>
        </w:rPr>
      </w:pPr>
      <w:r>
        <w:rPr>
          <w:lang w:val="en-US"/>
        </w:rPr>
        <w:t>Ofițerul de Securitate (ISO) este responsabil pentru identificarea (1) tuturor persoanelor sau organizațiilor care pot afecta sau pot fi afectate de securitatea informațiilor sau de managementul continuității afacerii (părțile interesate) și (2) tuturor cerințelor legale, de reglementare, contractuale și alte cerințe aferente.</w:t>
      </w:r>
    </w:p>
    <w:p>
      <w:pPr>
        <w:pStyle w:val="Normal"/>
        <w:rPr>
          <w:lang w:val="en-US"/>
        </w:rPr>
      </w:pPr>
      <w:r>
        <w:rPr>
          <w:lang w:val="en-US"/>
        </w:rPr>
        <w:t>Managerul de Conformitate va defini cine va fi responsabil pentru conformitatea cu fiecare cerință individuală și care părți interesate trebuie notificate atunci când apar schimbări.</w:t>
      </w:r>
    </w:p>
    <w:p>
      <w:pPr>
        <w:pStyle w:val="Normal"/>
        <w:rPr>
          <w:lang w:val="en-US"/>
        </w:rPr>
      </w:pPr>
      <w:r>
        <w:rPr>
          <w:lang w:val="en-US"/>
        </w:rPr>
        <w:t>Ofițerul de Conformitate trebuie să listeze toate cerințele, părțile interesate și persoanele responsabile în "Lista cerințelor legale, de reglementare, contractuale și alte cerințe" și să publice acea listă în intranetul companiei..</w:t>
      </w:r>
    </w:p>
    <w:p>
      <w:pPr>
        <w:pStyle w:val="Normal"/>
        <w:rPr>
          <w:lang w:val="en-US"/>
        </w:rPr>
      </w:pPr>
      <w:r>
        <w:rPr>
          <w:lang w:val="en-US"/>
        </w:rPr>
        <w:t xml:space="preserve">Fiecare angajat din </w:t>
      </w:r>
      <w:r>
        <w:rPr>
          <w:lang w:val="en-US"/>
        </w:rPr>
        <w:t>CloudSentinel</w:t>
      </w:r>
      <w:r>
        <w:rPr>
          <w:lang w:val="en-US"/>
        </w:rPr>
        <w:t xml:space="preserve"> trebuie să notifice Ofițerul de Conformitate dacă întâlnește orice nouă cerință legală, de reglementare, contractuală sau altă cerință care ar putea fi relevantă pentru securitatea informațiilor și managementul continuității afacerii.</w:t>
      </w:r>
    </w:p>
    <w:p>
      <w:pPr>
        <w:pStyle w:val="Normal"/>
        <w:rPr>
          <w:lang w:val="en-US"/>
        </w:rPr>
      </w:pPr>
      <w:r>
        <w:rPr>
          <w:lang w:val="en-US"/>
        </w:rPr>
      </w:r>
    </w:p>
    <w:p>
      <w:pPr>
        <w:pStyle w:val="Normal"/>
        <w:rPr>
          <w:lang w:val="en-US"/>
        </w:rPr>
      </w:pPr>
      <w:r>
        <w:rPr>
          <w:lang w:val="en-US"/>
        </w:rPr>
      </w:r>
    </w:p>
    <w:p>
      <w:pPr>
        <w:pStyle w:val="Heading1"/>
        <w:rPr>
          <w:lang w:val="en-US"/>
        </w:rPr>
      </w:pPr>
      <w:bookmarkStart w:id="7" w:name="__RefHeading___Toc2571_3460912053"/>
      <w:bookmarkEnd w:id="7"/>
      <w:r>
        <w:rPr>
          <w:lang w:val="en-US"/>
        </w:rPr>
        <w:t>Revizuire și evaluare</w:t>
      </w:r>
    </w:p>
    <w:p>
      <w:pPr>
        <w:pStyle w:val="Normal"/>
        <w:rPr>
          <w:lang w:val="en-US"/>
        </w:rPr>
      </w:pPr>
      <w:r>
        <w:rPr>
          <w:lang w:val="en-US"/>
        </w:rPr>
        <w:t xml:space="preserve">Managerul de Conformitate este responsabil pentru revizuirea Listei cerințelor legale, de reglementare, contractuale și alte cerințe cel puțin o dată la 6 luni și pentru actualizarea acesteia, dacă este necesar. Managerul de Conformitate va notifica toate părțile interesate relevante la fiecare actualizare. </w:t>
      </w:r>
    </w:p>
    <w:p>
      <w:pPr>
        <w:pStyle w:val="Normal"/>
        <w:rPr>
          <w:lang w:val="en-US"/>
        </w:rPr>
      </w:pPr>
      <w:r>
        <w:rPr>
          <w:lang w:val="en-US"/>
        </w:rPr>
        <w:t>Analistul SOC este responsabil pentru evaluarea conformității ISMS cu cerințele legale, de reglementare și contractuale relevante cel puțin o dată pe an.</w:t>
      </w:r>
    </w:p>
    <w:p>
      <w:pPr>
        <w:pStyle w:val="Normal"/>
        <w:rPr>
          <w:lang w:val="en-US"/>
        </w:rPr>
      </w:pPr>
      <w:r>
        <w:rPr>
          <w:lang w:val="en-US"/>
        </w:rPr>
      </w:r>
    </w:p>
    <w:p>
      <w:pPr>
        <w:pStyle w:val="Heading1"/>
        <w:rPr>
          <w:lang w:val="en-US"/>
        </w:rPr>
      </w:pPr>
      <w:bookmarkStart w:id="8" w:name="__RefHeading___Toc2573_3460912053"/>
      <w:bookmarkEnd w:id="8"/>
      <w:r>
        <w:rPr>
          <w:lang w:val="en-US"/>
        </w:rPr>
        <w:t>Gestionarea înregistrărilor păstrate pe baza acestui document</w:t>
      </w:r>
    </w:p>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9"/>
        <w:gridCol w:w="1683"/>
        <w:gridCol w:w="1698"/>
        <w:gridCol w:w="2555"/>
        <w:gridCol w:w="1383"/>
      </w:tblGrid>
      <w:tr>
        <w:trPr/>
        <w:tc>
          <w:tcPr>
            <w:tcW w:w="19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Nume înregistrare</w:t>
            </w:r>
          </w:p>
        </w:tc>
        <w:tc>
          <w:tcPr>
            <w:tcW w:w="16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Locație stocare</w:t>
            </w:r>
          </w:p>
        </w:tc>
        <w:tc>
          <w:tcPr>
            <w:tcW w:w="1698"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Persoană responsabilă pentru stocare</w:t>
            </w:r>
          </w:p>
        </w:tc>
        <w:tc>
          <w:tcPr>
            <w:tcW w:w="2555"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Control pentru protecția înregistrării</w:t>
            </w:r>
          </w:p>
        </w:tc>
        <w:tc>
          <w:tcPr>
            <w:tcW w:w="1383" w:type="dxa"/>
            <w:tcBorders>
              <w:top w:val="single" w:sz="4" w:space="0" w:color="000000"/>
              <w:left w:val="single" w:sz="4" w:space="0" w:color="000000"/>
              <w:bottom w:val="single" w:sz="4" w:space="0" w:color="000000"/>
              <w:right w:val="single" w:sz="4" w:space="0" w:color="000000"/>
            </w:tcBorders>
            <w:shd w:color="auto" w:fill="F2F2F2" w:val="clear"/>
          </w:tcPr>
          <w:p>
            <w:pPr>
              <w:pStyle w:val="Normal"/>
              <w:spacing w:before="0" w:after="0"/>
              <w:rPr>
                <w:sz w:val="20"/>
                <w:szCs w:val="20"/>
                <w:lang w:val="en-US"/>
              </w:rPr>
            </w:pPr>
            <w:r>
              <w:rPr>
                <w:sz w:val="20"/>
                <w:lang w:val="en-US"/>
              </w:rPr>
              <w:t>Timp de păstrare</w:t>
            </w:r>
          </w:p>
        </w:tc>
      </w:tr>
      <w:tr>
        <w:trPr/>
        <w:tc>
          <w:tcPr>
            <w:tcW w:w="1969" w:type="dxa"/>
            <w:tcBorders>
              <w:top w:val="single" w:sz="4" w:space="0" w:color="000000"/>
              <w:left w:val="single" w:sz="4" w:space="0" w:color="000000"/>
              <w:bottom w:val="single" w:sz="4" w:space="0" w:color="000000"/>
              <w:right w:val="single" w:sz="4" w:space="0" w:color="000000"/>
            </w:tcBorders>
          </w:tcPr>
          <w:p>
            <w:pPr>
              <w:pStyle w:val="Normal"/>
              <w:spacing w:before="0" w:after="0"/>
              <w:rPr>
                <w:lang w:val="en-US"/>
              </w:rPr>
            </w:pPr>
            <w:r>
              <w:rPr>
                <w:lang w:val="en-US"/>
              </w:rPr>
              <w:t>Lista cerințelor legale, de reglementare, contractuale și alte cerințe (în formă electronică)</w:t>
            </w:r>
          </w:p>
        </w:tc>
        <w:tc>
          <w:tcPr>
            <w:tcW w:w="16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Server intern securizat</w:t>
            </w:r>
          </w:p>
        </w:tc>
        <w:tc>
          <w:tcPr>
            <w:tcW w:w="1698"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Analist SOC</w:t>
            </w:r>
          </w:p>
        </w:tc>
        <w:tc>
          <w:tcPr>
            <w:tcW w:w="2555"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Accesul este permis doar Analistilor SOC și personalului de securitate autorizat</w:t>
            </w:r>
          </w:p>
        </w:tc>
        <w:tc>
          <w:tcPr>
            <w:tcW w:w="1383" w:type="dxa"/>
            <w:tcBorders>
              <w:top w:val="single" w:sz="4" w:space="0" w:color="000000"/>
              <w:left w:val="single" w:sz="4" w:space="0" w:color="000000"/>
              <w:bottom w:val="single" w:sz="4" w:space="0" w:color="000000"/>
              <w:right w:val="single" w:sz="4" w:space="0" w:color="000000"/>
            </w:tcBorders>
          </w:tcPr>
          <w:p>
            <w:pPr>
              <w:pStyle w:val="Normal"/>
              <w:spacing w:before="0" w:after="200"/>
              <w:rPr>
                <w:lang w:val="en-US"/>
              </w:rPr>
            </w:pPr>
            <w:r>
              <w:rPr>
                <w:lang w:val="en-US"/>
              </w:rPr>
              <w:t>Datele sunt păstrate timp de 1 an</w:t>
            </w:r>
          </w:p>
        </w:tc>
      </w:tr>
    </w:tbl>
    <w:p>
      <w:pPr>
        <w:pStyle w:val="Normal"/>
        <w:rPr>
          <w:lang w:val="en-US"/>
        </w:rPr>
      </w:pPr>
      <w:r>
        <w:rPr>
          <w:lang w:val="en-US"/>
        </w:rPr>
      </w:r>
    </w:p>
    <w:p>
      <w:pPr>
        <w:pStyle w:val="Heading1"/>
        <w:rPr>
          <w:lang w:val="en-US"/>
        </w:rPr>
      </w:pPr>
      <w:bookmarkStart w:id="9" w:name="__RefHeading___Toc2575_3460912053"/>
      <w:bookmarkEnd w:id="9"/>
      <w:r>
        <w:rPr>
          <w:lang w:val="en-US"/>
        </w:rPr>
        <w:t>Valabilitatea și managementul documentelor</w:t>
      </w:r>
    </w:p>
    <w:p>
      <w:pPr>
        <w:pStyle w:val="Normal"/>
        <w:rPr>
          <w:lang w:val="en-US"/>
        </w:rPr>
      </w:pPr>
      <w:r>
        <w:rPr>
          <w:lang w:val="en-US"/>
        </w:rPr>
        <w:t>Acest document este valabil începând cu 01.04.2025.</w:t>
      </w:r>
    </w:p>
    <w:p>
      <w:pPr>
        <w:pStyle w:val="Normal"/>
        <w:rPr>
          <w:lang w:val="en-US"/>
        </w:rPr>
      </w:pPr>
      <w:r>
        <w:rPr>
          <w:lang w:val="en-US"/>
        </w:rPr>
        <w:t xml:space="preserve">Proprietarul acestui document este </w:t>
      </w:r>
      <w:r>
        <w:rPr>
          <w:lang w:val="en-US"/>
        </w:rPr>
        <w:t>Chihai Andrian</w:t>
      </w:r>
      <w:r>
        <w:rPr>
          <w:lang w:val="en-US"/>
        </w:rPr>
        <w:t>, care trebuie să verifice și, dacă este necesar, să actualizeze documentul cel puțin o dată pe an.</w:t>
      </w:r>
    </w:p>
    <w:p>
      <w:pPr>
        <w:pStyle w:val="Normal"/>
        <w:spacing w:before="0" w:after="0"/>
        <w:rPr>
          <w:lang w:val="en-US"/>
        </w:rPr>
      </w:pPr>
      <w:r>
        <w:rPr>
          <w:lang w:val="en-US"/>
        </w:rPr>
        <w:t>La evaluarea eficienței și adecvării acestui document, trebuie luați în considerare următorii criterii:</w:t>
      </w:r>
    </w:p>
    <w:p>
      <w:pPr>
        <w:pStyle w:val="Normal"/>
        <w:spacing w:before="0" w:after="0"/>
        <w:rPr>
          <w:lang w:val="en-US"/>
        </w:rPr>
      </w:pPr>
      <w:r>
        <w:rPr>
          <w:lang w:val="en-US"/>
        </w:rPr>
        <w:t xml:space="preserve">   • </w:t>
      </w:r>
      <w:r>
        <w:rPr>
          <w:lang w:val="en-US"/>
        </w:rPr>
        <w:t>numărul obligațiilor organizației care au existat, dar nu au fost identificate</w:t>
      </w:r>
    </w:p>
    <w:p>
      <w:pPr>
        <w:pStyle w:val="Normal"/>
        <w:spacing w:before="0" w:after="0"/>
        <w:rPr>
          <w:lang w:val="en-US"/>
        </w:rPr>
      </w:pPr>
      <w:r>
        <w:rPr>
          <w:lang w:val="en-US"/>
        </w:rPr>
        <w:t xml:space="preserve">   • </w:t>
      </w:r>
      <w:r>
        <w:rPr>
          <w:lang w:val="en-US"/>
        </w:rPr>
        <w:t>numărul sau cuantumul penalităților plătite, ca rezultat al neconformității cu obligațiile</w:t>
      </w:r>
    </w:p>
    <w:p>
      <w:pPr>
        <w:pStyle w:val="Normal"/>
        <w:spacing w:before="0" w:after="0"/>
        <w:rPr>
          <w:lang w:val="en-US"/>
        </w:rPr>
      </w:pPr>
      <w:r>
        <w:rPr>
          <w:lang w:val="en-US"/>
        </w:rPr>
        <w:t xml:space="preserve">   • </w:t>
      </w:r>
      <w:r>
        <w:rPr>
          <w:lang w:val="en-US"/>
        </w:rPr>
        <w:t>numărul de zile întârziate pentru conformitatea cu obligațiile</w:t>
      </w:r>
    </w:p>
    <w:p>
      <w:pPr>
        <w:pStyle w:val="Normal"/>
        <w:rPr>
          <w:lang w:val="en-US"/>
        </w:rPr>
      </w:pPr>
      <w:r>
        <w:rPr>
          <w:lang w:val="en-US"/>
        </w:rPr>
      </w:r>
    </w:p>
    <w:p>
      <w:pPr>
        <w:pStyle w:val="Heading1"/>
        <w:rPr>
          <w:lang w:val="en-US"/>
        </w:rPr>
      </w:pPr>
      <w:bookmarkStart w:id="10" w:name="__RefHeading___Toc2577_3460912053"/>
      <w:bookmarkStart w:id="11" w:name="_Toc415648121"/>
      <w:bookmarkStart w:id="12" w:name="_Toc324421331"/>
      <w:bookmarkEnd w:id="10"/>
      <w:bookmarkEnd w:id="11"/>
      <w:bookmarkEnd w:id="12"/>
      <w:r>
        <w:rPr>
          <w:lang w:val="en-US"/>
        </w:rPr>
        <w:t>A</w:t>
      </w:r>
      <w:r>
        <w:rPr>
          <w:lang w:val="en-US"/>
        </w:rPr>
        <w:t>nexe</w:t>
      </w:r>
    </w:p>
    <w:p>
      <w:pPr>
        <w:pStyle w:val="ListParagraph"/>
        <w:numPr>
          <w:ilvl w:val="0"/>
          <w:numId w:val="3"/>
        </w:numPr>
        <w:rPr>
          <w:lang w:val="en-US"/>
        </w:rPr>
      </w:pPr>
      <w:r>
        <w:rPr>
          <w:lang w:val="en-US"/>
        </w:rPr>
        <w:t>Anexă: Lista cerințelor legale, de reglementare, Contractuale și Alte Cerințe</w:t>
      </w:r>
    </w:p>
    <w:p>
      <w:pPr>
        <w:pStyle w:val="Normal"/>
        <w:rPr>
          <w:lang w:val="en-US"/>
        </w:rPr>
      </w:pPr>
      <w:r>
        <w:rPr>
          <w:lang w:val="en-US"/>
        </w:rPr>
      </w:r>
    </w:p>
    <w:p>
      <w:pPr>
        <w:pStyle w:val="Normal"/>
        <w:spacing w:before="0" w:after="0"/>
        <w:rPr>
          <w:lang w:val="en-US"/>
        </w:rPr>
      </w:pPr>
      <w:r>
        <w:rPr>
          <w:lang w:val="en-US"/>
        </w:rPr>
        <w:t>Co-founders</w:t>
      </w:r>
    </w:p>
    <w:p>
      <w:pPr>
        <w:pStyle w:val="Normal"/>
        <w:spacing w:before="0" w:after="0"/>
        <w:rPr>
          <w:lang w:val="en-US"/>
        </w:rPr>
      </w:pPr>
      <w:r>
        <w:rPr>
          <w:lang w:val="en-US"/>
        </w:rPr>
        <w:t>Boboc Sandu</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t>_________________________</w:t>
      </w:r>
    </w:p>
    <w:p>
      <w:pPr>
        <w:pStyle w:val="Normal"/>
        <w:spacing w:before="0" w:after="0"/>
        <w:rPr>
          <w:lang w:val="en-US"/>
        </w:rPr>
      </w:pPr>
      <w:r>
        <w:rPr>
          <w:lang w:val="en-US"/>
        </w:rPr>
        <w:t>Semnatura</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7" w:right="1417" w:gutter="0" w:header="708" w:top="1417" w:footer="708" w:bottom="141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8"/>
      <w:gridCol w:w="2268"/>
      <w:gridCol w:w="3121"/>
    </w:tblGrid>
    <w:tr>
      <w:trPr/>
      <w:tc>
        <w:tcPr>
          <w:tcW w:w="4358" w:type="dxa"/>
          <w:tcBorders>
            <w:top w:val="single" w:sz="4" w:space="0" w:color="000000"/>
          </w:tcBorders>
        </w:tcPr>
        <w:p>
          <w:pPr>
            <w:pStyle w:val="Footer"/>
            <w:spacing w:before="0" w:after="200"/>
            <w:rPr>
              <w:sz w:val="18"/>
              <w:szCs w:val="18"/>
            </w:rPr>
          </w:pPr>
          <w:r>
            <w:rPr>
              <w:sz w:val="18"/>
            </w:rPr>
            <w:t>Procedura de identificare a cerințelor</w:t>
          </w:r>
        </w:p>
      </w:tc>
      <w:tc>
        <w:tcPr>
          <w:tcW w:w="2268" w:type="dxa"/>
          <w:tcBorders>
            <w:top w:val="single" w:sz="4" w:space="0" w:color="000000"/>
          </w:tcBorders>
        </w:tcPr>
        <w:p>
          <w:pPr>
            <w:pStyle w:val="Footer"/>
            <w:spacing w:before="0" w:after="200"/>
            <w:jc w:val="center"/>
            <w:rPr>
              <w:sz w:val="18"/>
              <w:szCs w:val="18"/>
            </w:rPr>
          </w:pPr>
          <w:r>
            <w:rPr>
              <w:sz w:val="18"/>
            </w:rPr>
            <w:t>Ver 0.1 din 2024-04-01</w:t>
          </w:r>
        </w:p>
      </w:tc>
      <w:tc>
        <w:tcPr>
          <w:tcW w:w="3121" w:type="dxa"/>
          <w:tcBorders>
            <w:top w:val="single" w:sz="4" w:space="0" w:color="000000"/>
          </w:tcBorders>
        </w:tcPr>
        <w:p>
          <w:pPr>
            <w:pStyle w:val="Footer"/>
            <w:spacing w:before="0" w:after="200"/>
            <w:jc w:val="right"/>
            <w:rPr>
              <w:b/>
              <w:sz w:val="18"/>
              <w:szCs w:val="18"/>
            </w:rPr>
          </w:pPr>
          <w:r>
            <w:rPr>
              <w:sz w:val="18"/>
            </w:rPr>
            <w:t>Pa</w:t>
          </w:r>
          <w:r>
            <w:rPr>
              <w:sz w:val="18"/>
            </w:rPr>
            <w:t>gina</w:t>
          </w:r>
          <w:r>
            <w:rPr>
              <w:sz w:val="18"/>
            </w:rPr>
            <w:t xml:space="preserve"> </w:t>
          </w:r>
          <w:r>
            <w:rPr>
              <w:b/>
              <w:sz w:val="18"/>
            </w:rPr>
            <w:fldChar w:fldCharType="begin"/>
          </w:r>
          <w:r>
            <w:rPr>
              <w:sz w:val="18"/>
              <w:b/>
            </w:rPr>
            <w:instrText xml:space="preserve"> PAGE </w:instrText>
          </w:r>
          <w:r>
            <w:rPr>
              <w:sz w:val="18"/>
              <w:b/>
            </w:rPr>
            <w:fldChar w:fldCharType="separate"/>
          </w:r>
          <w:r>
            <w:rPr>
              <w:sz w:val="18"/>
              <w:b/>
            </w:rPr>
            <w:t>5</w:t>
          </w:r>
          <w:r>
            <w:rPr>
              <w:sz w:val="18"/>
              <w:b/>
            </w:rPr>
            <w:fldChar w:fldCharType="end"/>
          </w:r>
          <w:r>
            <w:rPr>
              <w:sz w:val="18"/>
            </w:rPr>
            <w:t xml:space="preserve"> </w:t>
          </w:r>
          <w:r>
            <w:rPr>
              <w:sz w:val="18"/>
            </w:rPr>
            <w:t>din</w:t>
          </w:r>
          <w:r>
            <w:rPr>
              <w:sz w:val="18"/>
            </w:rPr>
            <w:t xml:space="preserve"> </w:t>
          </w:r>
          <w:r>
            <w:rPr>
              <w:b/>
              <w:sz w:val="18"/>
            </w:rPr>
            <w:fldChar w:fldCharType="begin"/>
          </w:r>
          <w:r>
            <w:rPr>
              <w:sz w:val="18"/>
              <w:b/>
            </w:rPr>
            <w:instrText xml:space="preserve"> NUMPAGES </w:instrText>
          </w:r>
          <w:r>
            <w:rPr>
              <w:sz w:val="18"/>
              <w:b/>
            </w:rPr>
            <w:fldChar w:fldCharType="separate"/>
          </w:r>
          <w:r>
            <w:rPr>
              <w:sz w:val="18"/>
              <w:b/>
            </w:rPr>
            <w:t>5</w:t>
          </w:r>
          <w:r>
            <w:rPr>
              <w:sz w:val="18"/>
              <w:b/>
            </w:rPr>
            <w:fldChar w:fldCharType="end"/>
          </w:r>
        </w:p>
      </w:tc>
    </w:tr>
  </w:tbl>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sz w:val="16"/>
        <w:szCs w:val="16"/>
      </w:rPr>
    </w:pPr>
    <w:r>
      <w:rPr>
        <w:sz w:val="16"/>
      </w:rPr>
      <w:t xml:space="preserve">©2024 Acest șablon poate fi utilizat de către clienții CloudSentinel în conformitate cu Acordul de Licență. </w:t>
    </w:r>
    <w:r>
      <w:rPr>
        <w:rStyle w:val="Hyperlink"/>
        <w:sz w:val="16"/>
      </w:rPr>
      <w:t>www.cloudsentinel.com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70"/>
      <w:gridCol w:w="2517"/>
    </w:tblGrid>
    <w:tr>
      <w:trPr/>
      <w:tc>
        <w:tcPr>
          <w:tcW w:w="6770" w:type="dxa"/>
          <w:tcBorders>
            <w:bottom w:val="single" w:sz="4" w:space="0" w:color="000000"/>
          </w:tcBorders>
        </w:tcPr>
        <w:p>
          <w:pPr>
            <w:pStyle w:val="Header"/>
            <w:spacing w:before="0" w:after="0"/>
            <w:rPr>
              <w:sz w:val="20"/>
              <w:szCs w:val="20"/>
            </w:rPr>
          </w:pPr>
          <w:r>
            <w:rPr>
              <w:sz w:val="20"/>
            </w:rPr>
            <w:t xml:space="preserve"> </w:t>
          </w:r>
          <w:r>
            <w:rPr>
              <w:sz w:val="20"/>
              <w:szCs w:val="20"/>
            </w:rPr>
            <w:t>CloudSentinel</w:t>
          </w:r>
        </w:p>
      </w:tc>
      <w:tc>
        <w:tcPr>
          <w:tcW w:w="2517" w:type="dxa"/>
          <w:tcBorders>
            <w:bottom w:val="single" w:sz="4" w:space="0" w:color="000000"/>
          </w:tcBorders>
        </w:tcPr>
        <w:p>
          <w:pPr>
            <w:pStyle w:val="Header"/>
            <w:spacing w:before="0" w:after="0"/>
            <w:jc w:val="center"/>
            <w:rPr>
              <w:sz w:val="20"/>
              <w:szCs w:val="20"/>
            </w:rPr>
          </w:pPr>
          <w:r>
            <w:rPr>
              <w:sz w:val="20"/>
            </w:rPr>
            <w:t>Confidential</w:t>
          </w:r>
        </w:p>
      </w:tc>
    </w:tr>
  </w:tbl>
  <w:p>
    <w:pPr>
      <w:pStyle w:val="Header"/>
      <w:spacing w:before="0" w:after="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isLgl/>
      <w:numFmt w:val="decimal"/>
      <w:lvlText w:val="%1.%2."/>
      <w:lvlJc w:val="left"/>
      <w:pPr>
        <w:tabs>
          <w:tab w:val="num" w:pos="0"/>
        </w:tabs>
        <w:ind w:left="360" w:hanging="360"/>
      </w:pPr>
      <w:rPr/>
    </w:lvl>
    <w:lvl w:ilvl="2">
      <w:start w:val="1"/>
      <w:pStyle w:val="Heading3"/>
      <w:isLgl/>
      <w:numFmt w:val="decimal"/>
      <w:lvlText w:val="%1.%2.%3."/>
      <w:lvlJc w:val="left"/>
      <w:pPr>
        <w:tabs>
          <w:tab w:val="num" w:pos="0"/>
        </w:tabs>
        <w:ind w:left="720" w:hanging="720"/>
      </w:pPr>
      <w:rPr/>
    </w:lvl>
    <w:lvl w:ilvl="3">
      <w:start w:val="1"/>
      <w:isLgl/>
      <w:numFmt w:val="decimal"/>
      <w:lvlText w:val="%1.%2.%3.%4."/>
      <w:lvlJc w:val="left"/>
      <w:pPr>
        <w:tabs>
          <w:tab w:val="num" w:pos="0"/>
        </w:tabs>
        <w:ind w:left="720" w:hanging="720"/>
      </w:pPr>
      <w:rPr/>
    </w:lvl>
    <w:lvl w:ilvl="4">
      <w:start w:val="1"/>
      <w:isLgl/>
      <w:numFmt w:val="decimal"/>
      <w:lvlText w:val="%1.%2.%3.%4.%5."/>
      <w:lvlJc w:val="left"/>
      <w:pPr>
        <w:tabs>
          <w:tab w:val="num" w:pos="0"/>
        </w:tabs>
        <w:ind w:left="1080" w:hanging="1080"/>
      </w:pPr>
      <w:rPr/>
    </w:lvl>
    <w:lvl w:ilvl="5">
      <w:start w:val="1"/>
      <w:isLgl/>
      <w:numFmt w:val="decimal"/>
      <w:lvlText w:val="%1.%2.%3.%4.%5.%6."/>
      <w:lvlJc w:val="left"/>
      <w:pPr>
        <w:tabs>
          <w:tab w:val="num" w:pos="0"/>
        </w:tabs>
        <w:ind w:left="1080" w:hanging="1080"/>
      </w:pPr>
      <w:rPr/>
    </w:lvl>
    <w:lvl w:ilvl="6">
      <w:start w:val="1"/>
      <w:isLgl/>
      <w:numFmt w:val="decimal"/>
      <w:lvlText w:val="%1.%2.%3.%4.%5.%6.%7."/>
      <w:lvlJc w:val="left"/>
      <w:pPr>
        <w:tabs>
          <w:tab w:val="num" w:pos="0"/>
        </w:tabs>
        <w:ind w:left="1440" w:hanging="1440"/>
      </w:pPr>
      <w:rPr/>
    </w:lvl>
    <w:lvl w:ilvl="7">
      <w:start w:val="1"/>
      <w:isLgl/>
      <w:numFmt w:val="decimal"/>
      <w:lvlText w:val="%1.%2.%3.%4.%5.%6.%7.%8."/>
      <w:lvlJc w:val="left"/>
      <w:pPr>
        <w:tabs>
          <w:tab w:val="num" w:pos="0"/>
        </w:tabs>
        <w:ind w:left="1440" w:hanging="1440"/>
      </w:pPr>
      <w:rPr/>
    </w:lvl>
    <w:lvl w:ilvl="8">
      <w:start w:val="1"/>
      <w:isLgl/>
      <w:numFmt w:val="decimal"/>
      <w:lvlText w:val="%1.%2.%3.%4.%5.%6.%7.%8.%9."/>
      <w:lvlJc w:val="left"/>
      <w:pPr>
        <w:tabs>
          <w:tab w:val="num" w:pos="0"/>
        </w:tabs>
        <w:ind w:left="1800" w:hanging="180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hr-HR" w:eastAsia="hr-H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3a47"/>
    <w:pPr>
      <w:widowControl/>
      <w:suppressAutoHyphens w:val="true"/>
      <w:bidi w:val="0"/>
      <w:spacing w:lineRule="auto" w:line="276" w:before="0" w:after="200"/>
      <w:jc w:val="left"/>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
    <w:qFormat/>
    <w:rsid w:val="00db37f7"/>
    <w:pPr>
      <w:numPr>
        <w:ilvl w:val="0"/>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961e0"/>
    <w:rPr>
      <w:sz w:val="22"/>
      <w:szCs w:val="22"/>
      <w:lang w:val="en-GB" w:eastAsia="en-US"/>
    </w:rPr>
  </w:style>
  <w:style w:type="character" w:styleId="FooterChar" w:customStyle="1">
    <w:name w:val="Footer Char"/>
    <w:basedOn w:val="DefaultParagraphFont"/>
    <w:link w:val="Footer"/>
    <w:uiPriority w:val="99"/>
    <w:qFormat/>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styleId="Heading1Char" w:customStyle="1">
    <w:name w:val="Heading 1 Char"/>
    <w:basedOn w:val="DefaultParagraphFont"/>
    <w:link w:val="Heading1"/>
    <w:uiPriority w:val="9"/>
    <w:qFormat/>
    <w:rsid w:val="00db37f7"/>
    <w:rPr>
      <w:b/>
      <w:sz w:val="28"/>
      <w:szCs w:val="28"/>
      <w:lang w:val="en-GB" w:eastAsia="en-US"/>
    </w:rPr>
  </w:style>
  <w:style w:type="character" w:styleId="Annotationreference">
    <w:name w:val="annotation reference"/>
    <w:basedOn w:val="DefaultParagraphFont"/>
    <w:uiPriority w:val="99"/>
    <w:semiHidden/>
    <w:unhideWhenUsed/>
    <w:qFormat/>
    <w:rsid w:val="00903ed2"/>
    <w:rPr>
      <w:sz w:val="16"/>
      <w:szCs w:val="16"/>
      <w:lang w:val="en-GB"/>
    </w:rPr>
  </w:style>
  <w:style w:type="character" w:styleId="CommentTextChar" w:customStyle="1">
    <w:name w:val="Comment Text Char"/>
    <w:basedOn w:val="DefaultParagraphFont"/>
    <w:link w:val="Annotationtext"/>
    <w:uiPriority w:val="99"/>
    <w:semiHidden/>
    <w:qFormat/>
    <w:rsid w:val="00903ed2"/>
    <w:rPr>
      <w:lang w:val="en-GB" w:eastAsia="en-US"/>
    </w:rPr>
  </w:style>
  <w:style w:type="character" w:styleId="CommentSubjectChar" w:customStyle="1">
    <w:name w:val="Comment Subject Char"/>
    <w:basedOn w:val="CommentTextChar"/>
    <w:link w:val="Annotationsubject"/>
    <w:uiPriority w:val="99"/>
    <w:semiHidden/>
    <w:qFormat/>
    <w:rsid w:val="00903ed2"/>
    <w:rPr>
      <w:b/>
      <w:bCs/>
      <w:lang w:val="en-GB" w:eastAsia="en-US"/>
    </w:rPr>
  </w:style>
  <w:style w:type="character" w:styleId="BalloonTextChar" w:customStyle="1">
    <w:name w:val="Balloon Text Char"/>
    <w:basedOn w:val="DefaultParagraphFont"/>
    <w:link w:val="BalloonText"/>
    <w:uiPriority w:val="99"/>
    <w:semiHidden/>
    <w:qFormat/>
    <w:rsid w:val="00903ed2"/>
    <w:rPr>
      <w:rFonts w:ascii="Tahoma" w:hAnsi="Tahoma" w:cs="Tahoma"/>
      <w:sz w:val="16"/>
      <w:szCs w:val="16"/>
      <w:lang w:val="en-GB" w:eastAsia="en-US"/>
    </w:rPr>
  </w:style>
  <w:style w:type="character" w:styleId="Heading2Char" w:customStyle="1">
    <w:name w:val="Heading 2 Char"/>
    <w:basedOn w:val="DefaultParagraphFont"/>
    <w:link w:val="Heading2"/>
    <w:uiPriority w:val="9"/>
    <w:qFormat/>
    <w:rsid w:val="00ef7719"/>
    <w:rPr>
      <w:b/>
      <w:sz w:val="24"/>
      <w:szCs w:val="24"/>
      <w:lang w:val="en-GB" w:eastAsia="en-US"/>
    </w:rPr>
  </w:style>
  <w:style w:type="character" w:styleId="Heading3Char" w:customStyle="1">
    <w:name w:val="Heading 3 Char"/>
    <w:basedOn w:val="DefaultParagraphFont"/>
    <w:link w:val="Heading3"/>
    <w:uiPriority w:val="9"/>
    <w:qFormat/>
    <w:rsid w:val="00c73ce6"/>
    <w:rPr>
      <w:b/>
      <w:i/>
      <w:sz w:val="22"/>
      <w:szCs w:val="22"/>
      <w:lang w:val="en-GB" w:eastAsia="en-US"/>
    </w:rPr>
  </w:style>
  <w:style w:type="character" w:styleId="IndexLink">
    <w:name w:val="Index Link"/>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961e0"/>
    <w:pPr>
      <w:tabs>
        <w:tab w:val="clear" w:pos="708"/>
        <w:tab w:val="center" w:pos="4536" w:leader="none"/>
        <w:tab w:val="right" w:pos="9072" w:leader="none"/>
      </w:tabs>
    </w:pPr>
    <w:rPr/>
  </w:style>
  <w:style w:type="paragraph" w:styleId="Footer">
    <w:name w:val="Footer"/>
    <w:basedOn w:val="Normal"/>
    <w:link w:val="FooterChar"/>
    <w:unhideWhenUsed/>
    <w:rsid w:val="00f961e0"/>
    <w:pPr>
      <w:tabs>
        <w:tab w:val="clear" w:pos="708"/>
        <w:tab w:val="center" w:pos="4536" w:leader="none"/>
        <w:tab w:val="right" w:pos="9072" w:leader="none"/>
      </w:tabs>
    </w:pPr>
    <w:rPr/>
  </w:style>
  <w:style w:type="paragraph" w:styleId="Annotationtext">
    <w:name w:val="annotation text"/>
    <w:basedOn w:val="Normal"/>
    <w:link w:val="CommentTextChar"/>
    <w:uiPriority w:val="99"/>
    <w:semiHidden/>
    <w:unhideWhenUsed/>
    <w:qFormat/>
    <w:rsid w:val="00903ed2"/>
    <w:pPr/>
    <w:rPr>
      <w:sz w:val="20"/>
      <w:szCs w:val="20"/>
    </w:rPr>
  </w:style>
  <w:style w:type="paragraph" w:styleId="Annotationsubject">
    <w:name w:val="annotation subject"/>
    <w:basedOn w:val="Annotationtext"/>
    <w:next w:val="Annotationtext"/>
    <w:link w:val="CommentSubjectChar"/>
    <w:uiPriority w:val="99"/>
    <w:semiHidden/>
    <w:unhideWhenUsed/>
    <w:qFormat/>
    <w:rsid w:val="00903ed2"/>
    <w:pPr/>
    <w:rPr>
      <w:b/>
      <w:bCs/>
    </w:rPr>
  </w:style>
  <w:style w:type="paragraph" w:styleId="BalloonText">
    <w:name w:val="Balloon Text"/>
    <w:basedOn w:val="Normal"/>
    <w:link w:val="BalloonTextChar"/>
    <w:uiPriority w:val="99"/>
    <w:semiHidden/>
    <w:unhideWhenUsed/>
    <w:qFormat/>
    <w:rsid w:val="00903ed2"/>
    <w:pPr>
      <w:spacing w:lineRule="auto" w:line="240" w:before="0" w:after="0"/>
    </w:pPr>
    <w:rPr>
      <w:rFonts w:ascii="Tahoma" w:hAnsi="Tahoma" w:cs="Tahoma"/>
      <w:sz w:val="16"/>
      <w:szCs w:val="16"/>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before="0" w:after="0"/>
      <w:ind w:left="220"/>
    </w:pPr>
    <w:rPr>
      <w:smallCaps/>
      <w:sz w:val="20"/>
      <w:szCs w:val="20"/>
    </w:rPr>
  </w:style>
  <w:style w:type="paragraph" w:styleId="TOC3">
    <w:name w:val="TOC 3"/>
    <w:basedOn w:val="Normal"/>
    <w:next w:val="Normal"/>
    <w:autoRedefine/>
    <w:uiPriority w:val="39"/>
    <w:unhideWhenUsed/>
    <w:rsid w:val="00d01489"/>
    <w:pPr>
      <w:spacing w:before="0" w:after="0"/>
      <w:ind w:left="440"/>
    </w:pPr>
    <w:rPr>
      <w:i/>
      <w:iCs/>
      <w:sz w:val="20"/>
      <w:szCs w:val="20"/>
    </w:rPr>
  </w:style>
  <w:style w:type="paragraph" w:styleId="TOC4">
    <w:name w:val="TOC 4"/>
    <w:basedOn w:val="Normal"/>
    <w:next w:val="Normal"/>
    <w:autoRedefine/>
    <w:uiPriority w:val="39"/>
    <w:unhideWhenUsed/>
    <w:rsid w:val="00d01489"/>
    <w:pPr>
      <w:spacing w:before="0" w:after="0"/>
      <w:ind w:left="660"/>
    </w:pPr>
    <w:rPr>
      <w:sz w:val="18"/>
      <w:szCs w:val="18"/>
    </w:rPr>
  </w:style>
  <w:style w:type="paragraph" w:styleId="TOC5">
    <w:name w:val="TOC 5"/>
    <w:basedOn w:val="Normal"/>
    <w:next w:val="Normal"/>
    <w:autoRedefine/>
    <w:uiPriority w:val="39"/>
    <w:unhideWhenUsed/>
    <w:rsid w:val="00d01489"/>
    <w:pPr>
      <w:spacing w:before="0" w:after="0"/>
      <w:ind w:left="880"/>
    </w:pPr>
    <w:rPr>
      <w:sz w:val="18"/>
      <w:szCs w:val="18"/>
    </w:rPr>
  </w:style>
  <w:style w:type="paragraph" w:styleId="TOC6">
    <w:name w:val="TOC 6"/>
    <w:basedOn w:val="Normal"/>
    <w:next w:val="Normal"/>
    <w:autoRedefine/>
    <w:uiPriority w:val="39"/>
    <w:unhideWhenUsed/>
    <w:rsid w:val="00d01489"/>
    <w:pPr>
      <w:spacing w:before="0" w:after="0"/>
      <w:ind w:left="1100"/>
    </w:pPr>
    <w:rPr>
      <w:sz w:val="18"/>
      <w:szCs w:val="18"/>
    </w:rPr>
  </w:style>
  <w:style w:type="paragraph" w:styleId="TOC7">
    <w:name w:val="TOC 7"/>
    <w:basedOn w:val="Normal"/>
    <w:next w:val="Normal"/>
    <w:autoRedefine/>
    <w:uiPriority w:val="39"/>
    <w:unhideWhenUsed/>
    <w:rsid w:val="00d01489"/>
    <w:pPr>
      <w:spacing w:before="0" w:after="0"/>
      <w:ind w:left="1320"/>
    </w:pPr>
    <w:rPr>
      <w:sz w:val="18"/>
      <w:szCs w:val="18"/>
    </w:rPr>
  </w:style>
  <w:style w:type="paragraph" w:styleId="TOC8">
    <w:name w:val="TOC 8"/>
    <w:basedOn w:val="Normal"/>
    <w:next w:val="Normal"/>
    <w:autoRedefine/>
    <w:uiPriority w:val="39"/>
    <w:unhideWhenUsed/>
    <w:rsid w:val="00d01489"/>
    <w:pPr>
      <w:spacing w:before="0" w:after="0"/>
      <w:ind w:left="1540"/>
    </w:pPr>
    <w:rPr>
      <w:sz w:val="18"/>
      <w:szCs w:val="18"/>
    </w:rPr>
  </w:style>
  <w:style w:type="paragraph" w:styleId="TOC9">
    <w:name w:val="TOC 9"/>
    <w:basedOn w:val="Normal"/>
    <w:next w:val="Normal"/>
    <w:autoRedefine/>
    <w:uiPriority w:val="39"/>
    <w:unhideWhenUsed/>
    <w:rsid w:val="00d01489"/>
    <w:pPr>
      <w:spacing w:before="0" w:after="0"/>
      <w:ind w:left="1760"/>
    </w:pPr>
    <w:rPr>
      <w:sz w:val="18"/>
      <w:szCs w:val="1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d44a0f"/>
    <w:pPr>
      <w:keepNext w:val="true"/>
      <w:keepLines/>
      <w:numPr>
        <w:ilvl w:val="0"/>
        <w:numId w:val="0"/>
      </w:numPr>
      <w:spacing w:before="480" w:after="0"/>
      <w:outlineLvl w:val="9"/>
    </w:pPr>
    <w:rPr>
      <w:rFonts w:ascii="Cambria" w:hAnsi="Cambria" w:eastAsia="Times New Roman"/>
      <w:bCs/>
      <w:color w:val="365F91"/>
      <w:lang w:val="en-US"/>
    </w:rPr>
  </w:style>
  <w:style w:type="paragraph" w:styleId="ListParagraph">
    <w:name w:val="List Paragraph"/>
    <w:basedOn w:val="Normal"/>
    <w:uiPriority w:val="34"/>
    <w:qFormat/>
    <w:rsid w:val="004c7429"/>
    <w:pPr>
      <w:spacing w:before="0" w:after="200"/>
      <w:ind w:left="720"/>
      <w:contextualSpacing/>
    </w:pPr>
    <w:rPr/>
  </w:style>
  <w:style w:type="paragraph" w:styleId="Revision">
    <w:name w:val="Revision"/>
    <w:uiPriority w:val="99"/>
    <w:semiHidden/>
    <w:qFormat/>
    <w:rsid w:val="007e2a7f"/>
    <w:pPr>
      <w:widowControl/>
      <w:suppressAutoHyphens w:val="true"/>
      <w:bidi w:val="0"/>
      <w:spacing w:before="0" w:after="0"/>
      <w:jc w:val="left"/>
    </w:pPr>
    <w:rPr>
      <w:rFonts w:ascii="Calibri" w:hAnsi="Calibri" w:eastAsia="Calibri" w:cs="Times New Roman"/>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f384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C52C-E138-47D9-BAA9-1D180AC9C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LibreOffice/24.2.3.2$Linux_X86_64 LibreOffice_project/4f88f79086d18691a72ac668802d5bc5b5a88122</Application>
  <AppVersion>15.0000</AppVersion>
  <Pages>5</Pages>
  <Words>617</Words>
  <Characters>4009</Characters>
  <CharactersWithSpaces>4538</CharactersWithSpaces>
  <Paragraphs>91</Paragraphs>
  <Company>EPPS Services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2015-03-28T17:22:00Z</dcterms:created>
  <dc:creator>Dejan Kosutic</dc:creator>
  <dc:description>©2015 This template may be used by clients of EPPS Services Ltd. www.iso27001standard.com in accordance with the Licence Agreement.</dc:description>
  <dc:language>en-US</dc:language>
  <cp:lastModifiedBy/>
  <dcterms:modified xsi:type="dcterms:W3CDTF">2024-06-05T16:46:47Z</dcterms:modified>
  <cp:revision>8</cp:revision>
  <dc:subject/>
  <dc:title>Procedure for Identification of Requirements</dc:title>
</cp:coreProperties>
</file>

<file path=docProps/custom.xml><?xml version="1.0" encoding="utf-8"?>
<Properties xmlns="http://schemas.openxmlformats.org/officeDocument/2006/custom-properties" xmlns:vt="http://schemas.openxmlformats.org/officeDocument/2006/docPropsVTypes"/>
</file>