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7EA43" w14:textId="77777777" w:rsidR="00DB54A7" w:rsidRPr="0088347A" w:rsidRDefault="00DB54A7" w:rsidP="00DB54A7">
      <w:pPr>
        <w:pStyle w:val="Default"/>
        <w:spacing w:line="360" w:lineRule="auto"/>
        <w:jc w:val="center"/>
        <w:rPr>
          <w:sz w:val="36"/>
          <w:szCs w:val="32"/>
          <w:lang w:val="ro-MD"/>
        </w:rPr>
      </w:pPr>
      <w:r w:rsidRPr="0088347A">
        <w:rPr>
          <w:sz w:val="36"/>
          <w:szCs w:val="32"/>
          <w:lang w:val="ro-MD"/>
        </w:rPr>
        <w:t>Universitatea Tehnică a Moldovei</w:t>
      </w:r>
    </w:p>
    <w:p w14:paraId="239308B9" w14:textId="77777777" w:rsidR="00DB54A7" w:rsidRPr="0088347A" w:rsidRDefault="00DB54A7" w:rsidP="00DB54A7">
      <w:pPr>
        <w:pStyle w:val="Default"/>
        <w:spacing w:line="360" w:lineRule="auto"/>
        <w:jc w:val="center"/>
        <w:rPr>
          <w:sz w:val="36"/>
          <w:szCs w:val="32"/>
          <w:lang w:val="ro-MD"/>
        </w:rPr>
      </w:pPr>
      <w:r w:rsidRPr="0088347A">
        <w:rPr>
          <w:sz w:val="36"/>
          <w:szCs w:val="32"/>
          <w:lang w:val="ro-MD"/>
        </w:rPr>
        <w:t>Facultatea Calculatoare, Informatică și Microelectronică</w:t>
      </w:r>
    </w:p>
    <w:p w14:paraId="5AC268C3" w14:textId="77777777" w:rsidR="00DB54A7" w:rsidRPr="0088347A" w:rsidRDefault="00DB54A7" w:rsidP="00DB54A7">
      <w:pPr>
        <w:pStyle w:val="Default"/>
        <w:spacing w:line="360" w:lineRule="auto"/>
        <w:jc w:val="center"/>
        <w:rPr>
          <w:sz w:val="50"/>
          <w:szCs w:val="50"/>
          <w:lang w:val="ro-MD"/>
        </w:rPr>
      </w:pPr>
    </w:p>
    <w:p w14:paraId="6F39EC96" w14:textId="77777777" w:rsidR="00DB54A7" w:rsidRPr="0088347A" w:rsidRDefault="00DB54A7" w:rsidP="00DB54A7">
      <w:pPr>
        <w:pStyle w:val="Default"/>
        <w:spacing w:line="360" w:lineRule="auto"/>
        <w:jc w:val="center"/>
        <w:rPr>
          <w:sz w:val="50"/>
          <w:szCs w:val="50"/>
          <w:lang w:val="ro-MD"/>
        </w:rPr>
      </w:pPr>
    </w:p>
    <w:p w14:paraId="1C3617FA" w14:textId="77777777" w:rsidR="00DB54A7" w:rsidRPr="0088347A" w:rsidRDefault="00DB54A7" w:rsidP="00DB54A7">
      <w:pPr>
        <w:pStyle w:val="Default"/>
        <w:spacing w:line="360" w:lineRule="auto"/>
        <w:jc w:val="center"/>
        <w:rPr>
          <w:b/>
          <w:sz w:val="96"/>
          <w:szCs w:val="50"/>
          <w:lang w:val="ro-MD"/>
        </w:rPr>
      </w:pPr>
      <w:r w:rsidRPr="0088347A">
        <w:rPr>
          <w:b/>
          <w:sz w:val="96"/>
          <w:szCs w:val="50"/>
          <w:lang w:val="ro-MD"/>
        </w:rPr>
        <w:t xml:space="preserve">Raport </w:t>
      </w:r>
    </w:p>
    <w:p w14:paraId="6242916F" w14:textId="77777777" w:rsidR="00DB54A7" w:rsidRPr="0088347A" w:rsidRDefault="00DB54A7" w:rsidP="00DB54A7">
      <w:pPr>
        <w:pStyle w:val="Default"/>
        <w:spacing w:line="360" w:lineRule="auto"/>
        <w:jc w:val="center"/>
        <w:rPr>
          <w:sz w:val="40"/>
          <w:szCs w:val="40"/>
          <w:lang w:val="ro-MD"/>
        </w:rPr>
      </w:pPr>
      <w:r w:rsidRPr="0088347A">
        <w:rPr>
          <w:sz w:val="40"/>
          <w:szCs w:val="40"/>
          <w:lang w:val="ro-MD"/>
        </w:rPr>
        <w:t>la Managementul și Auditul Securității Informaționale</w:t>
      </w:r>
    </w:p>
    <w:p w14:paraId="2ED23155" w14:textId="5313B8FA" w:rsidR="00DB54A7" w:rsidRPr="0088347A" w:rsidRDefault="00DB54A7" w:rsidP="00DB54A7">
      <w:pPr>
        <w:pStyle w:val="Default"/>
        <w:spacing w:line="360" w:lineRule="auto"/>
        <w:jc w:val="center"/>
        <w:rPr>
          <w:iCs/>
          <w:sz w:val="40"/>
          <w:szCs w:val="40"/>
          <w:lang w:val="ro-MD"/>
        </w:rPr>
      </w:pPr>
      <w:r w:rsidRPr="0088347A">
        <w:rPr>
          <w:iCs/>
          <w:sz w:val="40"/>
          <w:szCs w:val="40"/>
          <w:lang w:val="ro-MD"/>
        </w:rPr>
        <w:t>Tema: „Comparația metodologiei Microsoft și a standardelor ISO 27005, NIST-SP-800-30 Nr.53  de evaluare a riscurilor informației”</w:t>
      </w:r>
    </w:p>
    <w:p w14:paraId="50BB53D5" w14:textId="77777777" w:rsidR="00DB54A7" w:rsidRPr="0088347A" w:rsidRDefault="00DB54A7" w:rsidP="00DB54A7">
      <w:pPr>
        <w:pStyle w:val="Default"/>
        <w:spacing w:line="360" w:lineRule="auto"/>
        <w:rPr>
          <w:sz w:val="32"/>
          <w:szCs w:val="32"/>
          <w:lang w:val="ro-MD"/>
        </w:rPr>
      </w:pPr>
    </w:p>
    <w:p w14:paraId="3D8BF6EF" w14:textId="77777777" w:rsidR="00DB54A7" w:rsidRPr="0088347A" w:rsidRDefault="00DB54A7" w:rsidP="00DB54A7">
      <w:pPr>
        <w:pStyle w:val="Default"/>
        <w:spacing w:line="360" w:lineRule="auto"/>
        <w:rPr>
          <w:sz w:val="32"/>
          <w:szCs w:val="32"/>
          <w:lang w:val="ro-MD"/>
        </w:rPr>
      </w:pPr>
    </w:p>
    <w:p w14:paraId="3D8CFF86" w14:textId="77777777" w:rsidR="00DB54A7" w:rsidRPr="0088347A" w:rsidRDefault="00DB54A7" w:rsidP="00DB54A7">
      <w:pPr>
        <w:pStyle w:val="Default"/>
        <w:spacing w:line="360" w:lineRule="auto"/>
        <w:rPr>
          <w:sz w:val="32"/>
          <w:szCs w:val="32"/>
          <w:lang w:val="ro-MD"/>
        </w:rPr>
      </w:pPr>
    </w:p>
    <w:p w14:paraId="079A964F" w14:textId="77777777" w:rsidR="00DB54A7" w:rsidRPr="0088347A" w:rsidRDefault="00DB54A7" w:rsidP="00DB54A7">
      <w:pPr>
        <w:pStyle w:val="Default"/>
        <w:spacing w:line="360" w:lineRule="auto"/>
        <w:jc w:val="center"/>
        <w:rPr>
          <w:sz w:val="32"/>
          <w:szCs w:val="32"/>
          <w:lang w:val="ro-MD"/>
        </w:rPr>
      </w:pPr>
      <w:r w:rsidRPr="0088347A">
        <w:rPr>
          <w:sz w:val="32"/>
          <w:szCs w:val="32"/>
          <w:lang w:val="ro-MD"/>
        </w:rPr>
        <w:t xml:space="preserve">                                                                                                                              </w:t>
      </w:r>
    </w:p>
    <w:p w14:paraId="1B103297" w14:textId="77777777" w:rsidR="00DB54A7" w:rsidRPr="0088347A" w:rsidRDefault="00DB54A7" w:rsidP="00DB54A7">
      <w:pPr>
        <w:pStyle w:val="Default"/>
        <w:spacing w:line="360" w:lineRule="auto"/>
        <w:jc w:val="center"/>
        <w:rPr>
          <w:sz w:val="32"/>
          <w:szCs w:val="32"/>
          <w:lang w:val="ro-MD"/>
        </w:rPr>
      </w:pPr>
    </w:p>
    <w:p w14:paraId="76E28CBB" w14:textId="77777777" w:rsidR="00DB54A7" w:rsidRPr="0088347A" w:rsidRDefault="00DB54A7" w:rsidP="00DB54A7">
      <w:pPr>
        <w:pStyle w:val="Default"/>
        <w:spacing w:line="360" w:lineRule="auto"/>
        <w:jc w:val="center"/>
        <w:rPr>
          <w:sz w:val="32"/>
          <w:szCs w:val="32"/>
          <w:lang w:val="ro-MD"/>
        </w:rPr>
      </w:pPr>
    </w:p>
    <w:p w14:paraId="65338335" w14:textId="427F4212" w:rsidR="00DB54A7" w:rsidRPr="0088347A" w:rsidRDefault="00DB54A7" w:rsidP="00DB54A7">
      <w:pPr>
        <w:pStyle w:val="Default"/>
        <w:spacing w:line="360" w:lineRule="auto"/>
        <w:jc w:val="right"/>
        <w:rPr>
          <w:sz w:val="32"/>
          <w:szCs w:val="32"/>
          <w:lang w:val="ro-MD"/>
        </w:rPr>
      </w:pPr>
      <w:r w:rsidRPr="0088347A">
        <w:rPr>
          <w:sz w:val="32"/>
          <w:szCs w:val="32"/>
          <w:lang w:val="ro-MD"/>
        </w:rPr>
        <w:t>Efectuat: st.gr. SI-201 Cebotari Dan</w:t>
      </w:r>
      <w:r w:rsidR="00BF3BCF" w:rsidRPr="0088347A">
        <w:rPr>
          <w:sz w:val="32"/>
          <w:szCs w:val="32"/>
          <w:lang w:val="ro-MD"/>
        </w:rPr>
        <w:t>,</w:t>
      </w:r>
    </w:p>
    <w:p w14:paraId="043D65B2" w14:textId="77777777" w:rsidR="00DB54A7" w:rsidRPr="0088347A" w:rsidRDefault="00DB54A7" w:rsidP="00DB54A7">
      <w:pPr>
        <w:pStyle w:val="Default"/>
        <w:spacing w:line="360" w:lineRule="auto"/>
        <w:jc w:val="right"/>
        <w:rPr>
          <w:sz w:val="32"/>
          <w:szCs w:val="32"/>
          <w:lang w:val="ro-MD"/>
        </w:rPr>
      </w:pPr>
      <w:r w:rsidRPr="0088347A">
        <w:rPr>
          <w:sz w:val="32"/>
          <w:szCs w:val="32"/>
          <w:lang w:val="ro-MD"/>
        </w:rPr>
        <w:t>st.gr. SI-201 Roman Nicoleta</w:t>
      </w:r>
    </w:p>
    <w:p w14:paraId="4272FE2F" w14:textId="3810CFDC" w:rsidR="00DB54A7" w:rsidRPr="0088347A" w:rsidRDefault="00DB54A7" w:rsidP="00DB54A7">
      <w:pPr>
        <w:pStyle w:val="Default"/>
        <w:spacing w:line="360" w:lineRule="auto"/>
        <w:jc w:val="right"/>
        <w:rPr>
          <w:sz w:val="32"/>
          <w:szCs w:val="32"/>
          <w:lang w:val="ro-MD"/>
        </w:rPr>
      </w:pPr>
      <w:r w:rsidRPr="0088347A">
        <w:rPr>
          <w:sz w:val="32"/>
          <w:szCs w:val="32"/>
          <w:lang w:val="ro-MD"/>
        </w:rPr>
        <w:t xml:space="preserve">A verificat: </w:t>
      </w:r>
      <w:proofErr w:type="spellStart"/>
      <w:r w:rsidRPr="0088347A">
        <w:rPr>
          <w:sz w:val="32"/>
          <w:szCs w:val="32"/>
          <w:lang w:val="ro-MD"/>
        </w:rPr>
        <w:t>lect.univ</w:t>
      </w:r>
      <w:proofErr w:type="spellEnd"/>
      <w:r w:rsidRPr="0088347A">
        <w:rPr>
          <w:sz w:val="32"/>
          <w:szCs w:val="32"/>
          <w:lang w:val="ro-MD"/>
        </w:rPr>
        <w:t>. Bulai Rodica</w:t>
      </w:r>
    </w:p>
    <w:p w14:paraId="7803056F" w14:textId="6087E369" w:rsidR="00DB54A7" w:rsidRPr="0088347A" w:rsidRDefault="00DB54A7" w:rsidP="00DB54A7">
      <w:pPr>
        <w:pStyle w:val="Default"/>
        <w:spacing w:line="360" w:lineRule="auto"/>
        <w:jc w:val="right"/>
        <w:rPr>
          <w:sz w:val="32"/>
          <w:szCs w:val="32"/>
          <w:lang w:val="ro-MD"/>
        </w:rPr>
      </w:pPr>
    </w:p>
    <w:p w14:paraId="29AE8BD7" w14:textId="77777777" w:rsidR="00DB54A7" w:rsidRPr="0088347A" w:rsidRDefault="00DB54A7" w:rsidP="00DB54A7">
      <w:pPr>
        <w:pStyle w:val="Default"/>
        <w:spacing w:line="360" w:lineRule="auto"/>
        <w:jc w:val="right"/>
        <w:rPr>
          <w:sz w:val="32"/>
          <w:szCs w:val="32"/>
          <w:lang w:val="ro-MD"/>
        </w:rPr>
      </w:pPr>
    </w:p>
    <w:p w14:paraId="3D83A31C" w14:textId="5F64C8F5" w:rsidR="00DB54A7" w:rsidRPr="0088347A" w:rsidRDefault="00DB54A7" w:rsidP="00DB54A7">
      <w:pPr>
        <w:pStyle w:val="Default"/>
        <w:spacing w:line="360" w:lineRule="auto"/>
        <w:jc w:val="center"/>
        <w:rPr>
          <w:sz w:val="32"/>
          <w:szCs w:val="32"/>
          <w:lang w:val="ro-MD"/>
        </w:rPr>
      </w:pPr>
      <w:r w:rsidRPr="0088347A">
        <w:rPr>
          <w:sz w:val="32"/>
          <w:szCs w:val="32"/>
          <w:lang w:val="ro-MD"/>
        </w:rPr>
        <w:t>Chișinău 2022</w:t>
      </w:r>
    </w:p>
    <w:p w14:paraId="1E721AF2" w14:textId="3EE6D1F1" w:rsidR="00DB54A7" w:rsidRPr="0088347A" w:rsidRDefault="00632FFE">
      <w:pPr>
        <w:spacing w:line="259" w:lineRule="auto"/>
        <w:rPr>
          <w:b/>
          <w:bCs/>
          <w:sz w:val="32"/>
          <w:szCs w:val="24"/>
          <w:lang w:val="ro-MD"/>
        </w:rPr>
      </w:pPr>
      <w:r w:rsidRPr="0088347A">
        <w:rPr>
          <w:b/>
          <w:bCs/>
          <w:sz w:val="32"/>
          <w:szCs w:val="24"/>
          <w:lang w:val="ro-MD"/>
        </w:rPr>
        <w:br w:type="page"/>
      </w:r>
    </w:p>
    <w:p w14:paraId="08B52EFD" w14:textId="58EF5BCC" w:rsidR="00181D28" w:rsidRPr="0088347A" w:rsidRDefault="00181D28" w:rsidP="00815D14">
      <w:pPr>
        <w:spacing w:after="0"/>
        <w:jc w:val="center"/>
        <w:rPr>
          <w:b/>
          <w:bCs/>
          <w:sz w:val="32"/>
          <w:szCs w:val="24"/>
          <w:lang w:val="ro-MD"/>
        </w:rPr>
      </w:pPr>
      <w:r w:rsidRPr="0088347A">
        <w:rPr>
          <w:b/>
          <w:bCs/>
          <w:sz w:val="32"/>
          <w:szCs w:val="24"/>
          <w:lang w:val="ro-MD"/>
        </w:rPr>
        <w:lastRenderedPageBreak/>
        <w:t>5 asemănări și deosebiri</w:t>
      </w:r>
    </w:p>
    <w:p w14:paraId="6E11AB75" w14:textId="77777777" w:rsidR="00181D28" w:rsidRPr="0088347A" w:rsidRDefault="00181D28" w:rsidP="00181D28">
      <w:pPr>
        <w:spacing w:after="0"/>
        <w:jc w:val="both"/>
        <w:rPr>
          <w:lang w:val="ro-MD"/>
        </w:rPr>
      </w:pPr>
    </w:p>
    <w:p w14:paraId="053AC20C" w14:textId="561EBA04" w:rsidR="000A2CE2" w:rsidRPr="0088347A" w:rsidRDefault="00181D28" w:rsidP="000A2CE2">
      <w:pPr>
        <w:spacing w:after="0"/>
        <w:ind w:firstLine="720"/>
        <w:jc w:val="center"/>
        <w:rPr>
          <w:lang w:val="ro-MD"/>
        </w:rPr>
      </w:pPr>
      <w:r w:rsidRPr="0088347A">
        <w:rPr>
          <w:lang w:val="ro-MD"/>
        </w:rPr>
        <w:t>27005 ISO / Metodologia Microsoft / NIST-SP-800-30 Nr. 53</w:t>
      </w:r>
    </w:p>
    <w:p w14:paraId="084387DE" w14:textId="3942CB46" w:rsidR="000A2CE2" w:rsidRPr="0088347A" w:rsidRDefault="003269AB" w:rsidP="000A2CE2">
      <w:pPr>
        <w:spacing w:after="0"/>
        <w:rPr>
          <w:b/>
          <w:bCs/>
          <w:lang w:val="ro-MD"/>
        </w:rPr>
      </w:pPr>
      <w:r w:rsidRPr="0088347A">
        <w:rPr>
          <w:b/>
          <w:bCs/>
          <w:lang w:val="ro-MD"/>
        </w:rPr>
        <w:t>Asemanari</w:t>
      </w:r>
    </w:p>
    <w:p w14:paraId="3802723A" w14:textId="77777777" w:rsidR="003269AB" w:rsidRPr="0088347A" w:rsidRDefault="003269AB" w:rsidP="000A2CE2">
      <w:pPr>
        <w:spacing w:after="0"/>
        <w:rPr>
          <w:lang w:val="ro-MD"/>
        </w:rPr>
      </w:pPr>
    </w:p>
    <w:tbl>
      <w:tblPr>
        <w:tblStyle w:val="a3"/>
        <w:tblW w:w="10734" w:type="dxa"/>
        <w:tblInd w:w="-778" w:type="dxa"/>
        <w:tblLook w:val="04A0" w:firstRow="1" w:lastRow="0" w:firstColumn="1" w:lastColumn="0" w:noHBand="0" w:noVBand="1"/>
      </w:tblPr>
      <w:tblGrid>
        <w:gridCol w:w="2683"/>
        <w:gridCol w:w="2683"/>
        <w:gridCol w:w="2683"/>
        <w:gridCol w:w="2685"/>
      </w:tblGrid>
      <w:tr w:rsidR="007263EF" w:rsidRPr="0088347A" w14:paraId="13E3E636" w14:textId="77777777" w:rsidTr="00102AB1">
        <w:trPr>
          <w:trHeight w:val="791"/>
        </w:trPr>
        <w:tc>
          <w:tcPr>
            <w:tcW w:w="2683" w:type="dxa"/>
          </w:tcPr>
          <w:p w14:paraId="6B41BF01" w14:textId="2E9C3B7F" w:rsidR="007263EF" w:rsidRPr="0088347A" w:rsidRDefault="007263EF" w:rsidP="00BC1E04">
            <w:pPr>
              <w:jc w:val="center"/>
              <w:rPr>
                <w:b/>
                <w:bCs/>
                <w:sz w:val="24"/>
                <w:szCs w:val="20"/>
                <w:lang w:val="ro-MD"/>
              </w:rPr>
            </w:pPr>
            <w:bookmarkStart w:id="0" w:name="_Hlk116132082"/>
            <w:r w:rsidRPr="0088347A">
              <w:rPr>
                <w:b/>
                <w:bCs/>
                <w:sz w:val="24"/>
                <w:szCs w:val="20"/>
                <w:lang w:val="ro-MD"/>
              </w:rPr>
              <w:t>Criteriu</w:t>
            </w:r>
          </w:p>
        </w:tc>
        <w:tc>
          <w:tcPr>
            <w:tcW w:w="2683" w:type="dxa"/>
          </w:tcPr>
          <w:p w14:paraId="4E572982" w14:textId="77777777" w:rsidR="00BC1E04" w:rsidRPr="0088347A" w:rsidRDefault="007263EF" w:rsidP="00BC1E04">
            <w:pPr>
              <w:jc w:val="center"/>
              <w:rPr>
                <w:b/>
                <w:bCs/>
                <w:sz w:val="24"/>
                <w:szCs w:val="20"/>
                <w:lang w:val="ro-MD"/>
              </w:rPr>
            </w:pPr>
            <w:r w:rsidRPr="0088347A">
              <w:rPr>
                <w:b/>
                <w:bCs/>
                <w:sz w:val="24"/>
                <w:szCs w:val="20"/>
                <w:lang w:val="ro-MD"/>
              </w:rPr>
              <w:t xml:space="preserve">Standardul </w:t>
            </w:r>
          </w:p>
          <w:p w14:paraId="54498106" w14:textId="27B4636E" w:rsidR="007263EF" w:rsidRPr="0088347A" w:rsidRDefault="007263EF" w:rsidP="00BC1E04">
            <w:pPr>
              <w:jc w:val="center"/>
              <w:rPr>
                <w:b/>
                <w:bCs/>
                <w:sz w:val="24"/>
                <w:szCs w:val="20"/>
                <w:lang w:val="ro-MD"/>
              </w:rPr>
            </w:pPr>
            <w:r w:rsidRPr="0088347A">
              <w:rPr>
                <w:b/>
                <w:bCs/>
                <w:sz w:val="24"/>
                <w:szCs w:val="20"/>
                <w:lang w:val="ro-MD"/>
              </w:rPr>
              <w:t>ISO 27005</w:t>
            </w:r>
          </w:p>
        </w:tc>
        <w:tc>
          <w:tcPr>
            <w:tcW w:w="2683" w:type="dxa"/>
          </w:tcPr>
          <w:p w14:paraId="22E7A02B" w14:textId="67865694" w:rsidR="007263EF" w:rsidRPr="0088347A" w:rsidRDefault="007263EF" w:rsidP="00BC1E04">
            <w:pPr>
              <w:jc w:val="center"/>
              <w:rPr>
                <w:b/>
                <w:bCs/>
                <w:sz w:val="24"/>
                <w:szCs w:val="20"/>
                <w:lang w:val="ro-MD"/>
              </w:rPr>
            </w:pPr>
            <w:r w:rsidRPr="0088347A">
              <w:rPr>
                <w:b/>
                <w:bCs/>
                <w:sz w:val="24"/>
                <w:szCs w:val="20"/>
                <w:lang w:val="ro-MD"/>
              </w:rPr>
              <w:t>Metodologia Microsoft</w:t>
            </w:r>
          </w:p>
        </w:tc>
        <w:tc>
          <w:tcPr>
            <w:tcW w:w="2684" w:type="dxa"/>
          </w:tcPr>
          <w:p w14:paraId="2AF8550F" w14:textId="6971541A" w:rsidR="007263EF" w:rsidRPr="0088347A" w:rsidRDefault="007263EF" w:rsidP="00BC1E04">
            <w:pPr>
              <w:jc w:val="center"/>
              <w:rPr>
                <w:b/>
                <w:bCs/>
                <w:sz w:val="24"/>
                <w:szCs w:val="20"/>
                <w:lang w:val="ro-MD"/>
              </w:rPr>
            </w:pPr>
            <w:r w:rsidRPr="0088347A">
              <w:rPr>
                <w:b/>
                <w:bCs/>
                <w:sz w:val="24"/>
                <w:szCs w:val="20"/>
                <w:lang w:val="ro-MD"/>
              </w:rPr>
              <w:t>Standardul NIST-SP-800-30 Nr.53</w:t>
            </w:r>
          </w:p>
        </w:tc>
      </w:tr>
      <w:tr w:rsidR="00411A0B" w:rsidRPr="0088347A" w14:paraId="10971613" w14:textId="77777777" w:rsidTr="00102AB1">
        <w:trPr>
          <w:trHeight w:val="634"/>
        </w:trPr>
        <w:tc>
          <w:tcPr>
            <w:tcW w:w="2683" w:type="dxa"/>
          </w:tcPr>
          <w:p w14:paraId="00E4AC3B" w14:textId="4B05E1BA" w:rsidR="00411A0B" w:rsidRPr="0088347A" w:rsidRDefault="00411A0B" w:rsidP="000A2CE2">
            <w:pPr>
              <w:rPr>
                <w:lang w:val="ro-MD"/>
              </w:rPr>
            </w:pPr>
            <w:r w:rsidRPr="0088347A">
              <w:rPr>
                <w:lang w:val="ro-MD"/>
              </w:rPr>
              <w:t>Analiza riscurilor</w:t>
            </w:r>
          </w:p>
        </w:tc>
        <w:tc>
          <w:tcPr>
            <w:tcW w:w="8051" w:type="dxa"/>
            <w:gridSpan w:val="3"/>
          </w:tcPr>
          <w:p w14:paraId="1DF12E2B" w14:textId="77777777" w:rsidR="00411A0B" w:rsidRPr="0088347A" w:rsidRDefault="00411A0B" w:rsidP="00885707">
            <w:pPr>
              <w:rPr>
                <w:sz w:val="24"/>
                <w:szCs w:val="20"/>
                <w:lang w:val="ro-MD"/>
              </w:rPr>
            </w:pPr>
            <w:r w:rsidRPr="0088347A">
              <w:rPr>
                <w:sz w:val="24"/>
                <w:szCs w:val="20"/>
                <w:lang w:val="ro-MD"/>
              </w:rPr>
              <w:t>- Stabilirea contextului</w:t>
            </w:r>
          </w:p>
          <w:p w14:paraId="4884DB8C" w14:textId="77777777" w:rsidR="00411A0B" w:rsidRPr="0088347A" w:rsidRDefault="00411A0B" w:rsidP="00885707">
            <w:pPr>
              <w:rPr>
                <w:sz w:val="24"/>
                <w:szCs w:val="20"/>
                <w:lang w:val="ro-MD"/>
              </w:rPr>
            </w:pPr>
            <w:r w:rsidRPr="0088347A">
              <w:rPr>
                <w:sz w:val="24"/>
                <w:szCs w:val="20"/>
                <w:lang w:val="ro-MD"/>
              </w:rPr>
              <w:t>- Evaluarea riscurilor</w:t>
            </w:r>
          </w:p>
          <w:p w14:paraId="663383D8" w14:textId="77777777" w:rsidR="00411A0B" w:rsidRPr="0088347A" w:rsidRDefault="00411A0B" w:rsidP="00885707">
            <w:pPr>
              <w:rPr>
                <w:sz w:val="24"/>
                <w:szCs w:val="20"/>
                <w:lang w:val="ro-MD"/>
              </w:rPr>
            </w:pPr>
            <w:r w:rsidRPr="0088347A">
              <w:rPr>
                <w:sz w:val="24"/>
                <w:szCs w:val="20"/>
                <w:lang w:val="ro-MD"/>
              </w:rPr>
              <w:t>- Tratarea riscurilor</w:t>
            </w:r>
          </w:p>
          <w:p w14:paraId="37012991" w14:textId="2BE75EFB" w:rsidR="00411A0B" w:rsidRPr="0088347A" w:rsidRDefault="00411A0B" w:rsidP="000A2CE2">
            <w:pPr>
              <w:rPr>
                <w:sz w:val="22"/>
                <w:szCs w:val="18"/>
                <w:lang w:val="ro-MD"/>
              </w:rPr>
            </w:pPr>
            <w:r w:rsidRPr="0088347A">
              <w:rPr>
                <w:sz w:val="22"/>
                <w:szCs w:val="18"/>
                <w:lang w:val="ro-MD"/>
              </w:rPr>
              <w:t>- Evitarea riscului</w:t>
            </w:r>
          </w:p>
          <w:p w14:paraId="42A468E2" w14:textId="77777777" w:rsidR="00411A0B" w:rsidRPr="0088347A" w:rsidRDefault="00411A0B" w:rsidP="000A2CE2">
            <w:pPr>
              <w:rPr>
                <w:sz w:val="22"/>
                <w:szCs w:val="18"/>
                <w:lang w:val="ro-MD"/>
              </w:rPr>
            </w:pPr>
            <w:r w:rsidRPr="0088347A">
              <w:rPr>
                <w:sz w:val="22"/>
                <w:szCs w:val="18"/>
                <w:lang w:val="ro-MD"/>
              </w:rPr>
              <w:t>- Monitorizarea riscului</w:t>
            </w:r>
          </w:p>
          <w:p w14:paraId="331A95CA" w14:textId="77777777" w:rsidR="00411A0B" w:rsidRPr="0088347A" w:rsidRDefault="00411A0B" w:rsidP="000A2CE2">
            <w:pPr>
              <w:rPr>
                <w:sz w:val="22"/>
                <w:szCs w:val="18"/>
                <w:lang w:val="ro-MD"/>
              </w:rPr>
            </w:pPr>
            <w:r w:rsidRPr="0088347A">
              <w:rPr>
                <w:sz w:val="22"/>
                <w:szCs w:val="18"/>
                <w:lang w:val="ro-MD"/>
              </w:rPr>
              <w:t xml:space="preserve">- Implementarea unui control </w:t>
            </w:r>
          </w:p>
          <w:p w14:paraId="108C9DD4" w14:textId="38586B56" w:rsidR="00411A0B" w:rsidRPr="0088347A" w:rsidRDefault="00411A0B" w:rsidP="000A2CE2">
            <w:pPr>
              <w:rPr>
                <w:sz w:val="22"/>
                <w:szCs w:val="18"/>
                <w:lang w:val="ro-MD"/>
              </w:rPr>
            </w:pPr>
            <w:r w:rsidRPr="0088347A">
              <w:rPr>
                <w:sz w:val="22"/>
                <w:szCs w:val="18"/>
                <w:lang w:val="ro-MD"/>
              </w:rPr>
              <w:t>- Comunicarea riscurilor</w:t>
            </w:r>
          </w:p>
          <w:p w14:paraId="5D8D0EEE" w14:textId="77777777" w:rsidR="00411A0B" w:rsidRPr="0088347A" w:rsidRDefault="00411A0B" w:rsidP="000A2CE2">
            <w:pPr>
              <w:rPr>
                <w:sz w:val="22"/>
                <w:szCs w:val="18"/>
                <w:lang w:val="ro-MD"/>
              </w:rPr>
            </w:pPr>
            <w:r w:rsidRPr="0088347A">
              <w:rPr>
                <w:sz w:val="22"/>
                <w:szCs w:val="18"/>
                <w:lang w:val="ro-MD"/>
              </w:rPr>
              <w:t>- Consultarea riscurilor</w:t>
            </w:r>
          </w:p>
          <w:p w14:paraId="1E6232E9" w14:textId="77777777" w:rsidR="00411A0B" w:rsidRPr="0088347A" w:rsidRDefault="00411A0B" w:rsidP="000A2CE2">
            <w:pPr>
              <w:rPr>
                <w:sz w:val="22"/>
                <w:szCs w:val="18"/>
                <w:lang w:val="ro-MD"/>
              </w:rPr>
            </w:pPr>
            <w:r w:rsidRPr="0088347A">
              <w:rPr>
                <w:sz w:val="22"/>
                <w:szCs w:val="18"/>
                <w:lang w:val="ro-MD"/>
              </w:rPr>
              <w:t>- Revizuirea riscului</w:t>
            </w:r>
          </w:p>
          <w:p w14:paraId="5A33CEF3" w14:textId="58DFD7AF" w:rsidR="00102AB1" w:rsidRPr="0088347A" w:rsidRDefault="00102AB1" w:rsidP="000A2CE2">
            <w:pPr>
              <w:rPr>
                <w:sz w:val="22"/>
                <w:szCs w:val="18"/>
                <w:lang w:val="ro-MD"/>
              </w:rPr>
            </w:pPr>
          </w:p>
        </w:tc>
      </w:tr>
      <w:tr w:rsidR="00411A0B" w:rsidRPr="0088347A" w14:paraId="493F0DE8" w14:textId="77777777" w:rsidTr="00102AB1">
        <w:trPr>
          <w:trHeight w:val="634"/>
        </w:trPr>
        <w:tc>
          <w:tcPr>
            <w:tcW w:w="2683" w:type="dxa"/>
          </w:tcPr>
          <w:p w14:paraId="0F36898F" w14:textId="5A9F9A70" w:rsidR="00411A0B" w:rsidRPr="0088347A" w:rsidRDefault="00411A0B" w:rsidP="000A2CE2">
            <w:pPr>
              <w:rPr>
                <w:lang w:val="ro-MD"/>
              </w:rPr>
            </w:pPr>
            <w:r w:rsidRPr="0088347A">
              <w:rPr>
                <w:lang w:val="ro-MD"/>
              </w:rPr>
              <w:t>Tratarea riscurilor</w:t>
            </w:r>
          </w:p>
        </w:tc>
        <w:tc>
          <w:tcPr>
            <w:tcW w:w="8051" w:type="dxa"/>
            <w:gridSpan w:val="3"/>
          </w:tcPr>
          <w:p w14:paraId="51FF3428" w14:textId="77777777" w:rsidR="0006782B" w:rsidRPr="0088347A" w:rsidRDefault="0006782B" w:rsidP="0006782B">
            <w:pPr>
              <w:rPr>
                <w:sz w:val="24"/>
                <w:szCs w:val="20"/>
                <w:lang w:val="ro-MD"/>
              </w:rPr>
            </w:pPr>
            <w:r w:rsidRPr="0088347A">
              <w:rPr>
                <w:sz w:val="24"/>
                <w:szCs w:val="20"/>
                <w:lang w:val="ro-MD"/>
              </w:rPr>
              <w:t>- asumarea sau creșterea riscului pentru a urmări o oportunitate;</w:t>
            </w:r>
          </w:p>
          <w:p w14:paraId="4680C044" w14:textId="77777777" w:rsidR="0006782B" w:rsidRPr="0088347A" w:rsidRDefault="0006782B" w:rsidP="0006782B">
            <w:pPr>
              <w:rPr>
                <w:sz w:val="24"/>
                <w:szCs w:val="20"/>
                <w:lang w:val="ro-MD"/>
              </w:rPr>
            </w:pPr>
            <w:r w:rsidRPr="0088347A">
              <w:rPr>
                <w:sz w:val="24"/>
                <w:szCs w:val="20"/>
                <w:lang w:val="ro-MD"/>
              </w:rPr>
              <w:t>- eliminarea sursei de risc;</w:t>
            </w:r>
          </w:p>
          <w:p w14:paraId="545CD375" w14:textId="77777777" w:rsidR="0006782B" w:rsidRPr="0088347A" w:rsidRDefault="0006782B" w:rsidP="0006782B">
            <w:pPr>
              <w:rPr>
                <w:sz w:val="24"/>
                <w:szCs w:val="20"/>
                <w:lang w:val="ro-MD"/>
              </w:rPr>
            </w:pPr>
            <w:r w:rsidRPr="0088347A">
              <w:rPr>
                <w:sz w:val="24"/>
                <w:szCs w:val="20"/>
                <w:lang w:val="ro-MD"/>
              </w:rPr>
              <w:t>- schimbarea probabilității;</w:t>
            </w:r>
          </w:p>
          <w:p w14:paraId="082918C8" w14:textId="77777777" w:rsidR="0006782B" w:rsidRPr="0088347A" w:rsidRDefault="0006782B" w:rsidP="0006782B">
            <w:pPr>
              <w:rPr>
                <w:sz w:val="24"/>
                <w:szCs w:val="20"/>
                <w:lang w:val="ro-MD"/>
              </w:rPr>
            </w:pPr>
            <w:r w:rsidRPr="0088347A">
              <w:rPr>
                <w:sz w:val="24"/>
                <w:szCs w:val="20"/>
                <w:lang w:val="ro-MD"/>
              </w:rPr>
              <w:t>- modificarea consecințelor;</w:t>
            </w:r>
          </w:p>
          <w:p w14:paraId="2BA86C00" w14:textId="77777777" w:rsidR="0006782B" w:rsidRPr="0088347A" w:rsidRDefault="0006782B" w:rsidP="0006782B">
            <w:pPr>
              <w:rPr>
                <w:sz w:val="24"/>
                <w:szCs w:val="20"/>
                <w:lang w:val="ro-MD"/>
              </w:rPr>
            </w:pPr>
            <w:r w:rsidRPr="0088347A">
              <w:rPr>
                <w:sz w:val="24"/>
                <w:szCs w:val="20"/>
                <w:lang w:val="ro-MD"/>
              </w:rPr>
              <w:t>- împărțirea riscului cu o altă parte sau cu alte părți (inclusiv contracte și finanțarea riscului); și</w:t>
            </w:r>
          </w:p>
          <w:p w14:paraId="7161FB34" w14:textId="77777777" w:rsidR="00411A0B" w:rsidRPr="0088347A" w:rsidRDefault="0006782B" w:rsidP="0006782B">
            <w:pPr>
              <w:rPr>
                <w:sz w:val="24"/>
                <w:szCs w:val="20"/>
                <w:lang w:val="ro-MD"/>
              </w:rPr>
            </w:pPr>
            <w:r w:rsidRPr="0088347A">
              <w:rPr>
                <w:sz w:val="24"/>
                <w:szCs w:val="20"/>
                <w:lang w:val="ro-MD"/>
              </w:rPr>
              <w:t>- reținerea riscului printr-o alegere în cunoștință de cauză.</w:t>
            </w:r>
          </w:p>
          <w:p w14:paraId="34054544" w14:textId="4E997D1F" w:rsidR="00102AB1" w:rsidRPr="0088347A" w:rsidRDefault="00102AB1" w:rsidP="0006782B">
            <w:pPr>
              <w:rPr>
                <w:sz w:val="24"/>
                <w:szCs w:val="20"/>
                <w:lang w:val="ro-MD"/>
              </w:rPr>
            </w:pPr>
          </w:p>
        </w:tc>
      </w:tr>
      <w:bookmarkEnd w:id="0"/>
    </w:tbl>
    <w:p w14:paraId="2E217F55" w14:textId="0937B418" w:rsidR="00257BF3" w:rsidRPr="0088347A" w:rsidRDefault="00257BF3" w:rsidP="000A2CE2">
      <w:pPr>
        <w:spacing w:after="0"/>
        <w:rPr>
          <w:lang w:val="ro-MD"/>
        </w:rPr>
      </w:pPr>
    </w:p>
    <w:p w14:paraId="3904A5B5" w14:textId="0255D1F2" w:rsidR="0006782B" w:rsidRPr="0088347A" w:rsidRDefault="0006782B" w:rsidP="000A2CE2">
      <w:pPr>
        <w:spacing w:after="0"/>
        <w:rPr>
          <w:lang w:val="ro-MD"/>
        </w:rPr>
      </w:pPr>
    </w:p>
    <w:p w14:paraId="3163E571" w14:textId="6065E031" w:rsidR="0006782B" w:rsidRPr="0088347A" w:rsidRDefault="0006782B" w:rsidP="000A2CE2">
      <w:pPr>
        <w:spacing w:after="0"/>
        <w:rPr>
          <w:lang w:val="ro-MD"/>
        </w:rPr>
      </w:pPr>
    </w:p>
    <w:p w14:paraId="3F5694DD" w14:textId="7799ACB0" w:rsidR="0006782B" w:rsidRPr="0088347A" w:rsidRDefault="0006782B" w:rsidP="000A2CE2">
      <w:pPr>
        <w:spacing w:after="0"/>
        <w:rPr>
          <w:lang w:val="ro-MD"/>
        </w:rPr>
      </w:pPr>
    </w:p>
    <w:p w14:paraId="5D82C3F0" w14:textId="7CA3AC85" w:rsidR="0006782B" w:rsidRPr="0088347A" w:rsidRDefault="0006782B" w:rsidP="000A2CE2">
      <w:pPr>
        <w:spacing w:after="0"/>
        <w:rPr>
          <w:lang w:val="ro-MD"/>
        </w:rPr>
      </w:pPr>
    </w:p>
    <w:p w14:paraId="2E1E5E75" w14:textId="5E1A76F5" w:rsidR="0006782B" w:rsidRPr="0088347A" w:rsidRDefault="0006782B" w:rsidP="000A2CE2">
      <w:pPr>
        <w:spacing w:after="0"/>
        <w:rPr>
          <w:lang w:val="ro-MD"/>
        </w:rPr>
      </w:pPr>
    </w:p>
    <w:p w14:paraId="385287A5" w14:textId="512A9B55" w:rsidR="0006782B" w:rsidRPr="0088347A" w:rsidRDefault="0006782B" w:rsidP="000A2CE2">
      <w:pPr>
        <w:spacing w:after="0"/>
        <w:rPr>
          <w:lang w:val="ro-MD"/>
        </w:rPr>
      </w:pPr>
    </w:p>
    <w:p w14:paraId="6A95F646" w14:textId="1615D8F0" w:rsidR="0006782B" w:rsidRPr="0088347A" w:rsidRDefault="0006782B" w:rsidP="000A2CE2">
      <w:pPr>
        <w:spacing w:after="0"/>
        <w:rPr>
          <w:lang w:val="ro-MD"/>
        </w:rPr>
      </w:pPr>
    </w:p>
    <w:p w14:paraId="5F302C2D" w14:textId="561BB501" w:rsidR="0006782B" w:rsidRPr="0088347A" w:rsidRDefault="0006782B" w:rsidP="000A2CE2">
      <w:pPr>
        <w:spacing w:after="0"/>
        <w:rPr>
          <w:lang w:val="ro-MD"/>
        </w:rPr>
      </w:pPr>
    </w:p>
    <w:p w14:paraId="7FFBCE76" w14:textId="7A2C82AB" w:rsidR="0006782B" w:rsidRPr="0088347A" w:rsidRDefault="0006782B" w:rsidP="000A2CE2">
      <w:pPr>
        <w:spacing w:after="0"/>
        <w:rPr>
          <w:lang w:val="ro-MD"/>
        </w:rPr>
      </w:pPr>
    </w:p>
    <w:p w14:paraId="189DD96D" w14:textId="7AAAF573" w:rsidR="0006782B" w:rsidRPr="0088347A" w:rsidRDefault="0006782B" w:rsidP="000A2CE2">
      <w:pPr>
        <w:spacing w:after="0"/>
        <w:rPr>
          <w:lang w:val="ro-MD"/>
        </w:rPr>
      </w:pPr>
    </w:p>
    <w:p w14:paraId="0B97283A" w14:textId="40EEFED4" w:rsidR="0006782B" w:rsidRPr="0088347A" w:rsidRDefault="0006782B" w:rsidP="000A2CE2">
      <w:pPr>
        <w:spacing w:after="0"/>
        <w:rPr>
          <w:lang w:val="ro-MD"/>
        </w:rPr>
      </w:pPr>
    </w:p>
    <w:p w14:paraId="2BB2E8FA" w14:textId="09A0901F" w:rsidR="0006782B" w:rsidRPr="0088347A" w:rsidRDefault="0006782B" w:rsidP="000A2CE2">
      <w:pPr>
        <w:spacing w:after="0"/>
        <w:rPr>
          <w:lang w:val="ro-MD"/>
        </w:rPr>
      </w:pPr>
    </w:p>
    <w:p w14:paraId="6FC5ABCF" w14:textId="0D5D0708" w:rsidR="0006782B" w:rsidRPr="0088347A" w:rsidRDefault="0006782B" w:rsidP="000A2CE2">
      <w:pPr>
        <w:spacing w:after="0"/>
        <w:rPr>
          <w:lang w:val="ro-MD"/>
        </w:rPr>
      </w:pPr>
    </w:p>
    <w:p w14:paraId="44E387DC" w14:textId="67DFE779" w:rsidR="0006782B" w:rsidRPr="0088347A" w:rsidRDefault="0006782B" w:rsidP="000A2CE2">
      <w:pPr>
        <w:spacing w:after="0"/>
        <w:rPr>
          <w:lang w:val="ro-MD"/>
        </w:rPr>
      </w:pPr>
    </w:p>
    <w:p w14:paraId="13C00405" w14:textId="4866FF58" w:rsidR="0006782B" w:rsidRPr="0088347A" w:rsidRDefault="0006782B" w:rsidP="000A2CE2">
      <w:pPr>
        <w:spacing w:after="0"/>
        <w:rPr>
          <w:lang w:val="ro-MD"/>
        </w:rPr>
      </w:pPr>
    </w:p>
    <w:p w14:paraId="325EB068" w14:textId="75A24CA9" w:rsidR="0006782B" w:rsidRPr="0088347A" w:rsidRDefault="0006782B" w:rsidP="000A2CE2">
      <w:pPr>
        <w:spacing w:after="0"/>
        <w:rPr>
          <w:lang w:val="ro-MD"/>
        </w:rPr>
      </w:pPr>
    </w:p>
    <w:p w14:paraId="6E63E927" w14:textId="09F45D74" w:rsidR="0006782B" w:rsidRPr="0088347A" w:rsidRDefault="0006782B" w:rsidP="000A2CE2">
      <w:pPr>
        <w:spacing w:after="0"/>
        <w:rPr>
          <w:lang w:val="ro-MD"/>
        </w:rPr>
      </w:pPr>
    </w:p>
    <w:p w14:paraId="7EB1EE59" w14:textId="0B11C9EA" w:rsidR="0006782B" w:rsidRPr="0088347A" w:rsidRDefault="0006782B" w:rsidP="000A2CE2">
      <w:pPr>
        <w:spacing w:after="0"/>
        <w:rPr>
          <w:lang w:val="ro-MD"/>
        </w:rPr>
      </w:pPr>
    </w:p>
    <w:p w14:paraId="447BD9F8" w14:textId="5E65CF44" w:rsidR="0006782B" w:rsidRPr="0088347A" w:rsidRDefault="0006782B" w:rsidP="000A2CE2">
      <w:pPr>
        <w:spacing w:after="0"/>
        <w:rPr>
          <w:lang w:val="ro-MD"/>
        </w:rPr>
      </w:pPr>
    </w:p>
    <w:p w14:paraId="02CD4B2F" w14:textId="77777777" w:rsidR="0006782B" w:rsidRPr="0088347A" w:rsidRDefault="0006782B" w:rsidP="000A2CE2">
      <w:pPr>
        <w:spacing w:after="0"/>
        <w:rPr>
          <w:lang w:val="ro-MD"/>
        </w:rPr>
      </w:pPr>
    </w:p>
    <w:p w14:paraId="419CE0FE" w14:textId="77777777" w:rsidR="00FF69C6" w:rsidRPr="0088347A" w:rsidRDefault="00FF69C6" w:rsidP="00257BF3">
      <w:pPr>
        <w:spacing w:after="0"/>
        <w:jc w:val="center"/>
        <w:rPr>
          <w:lang w:val="ro-MD"/>
        </w:rPr>
      </w:pPr>
    </w:p>
    <w:p w14:paraId="507FC670" w14:textId="2554CF2E" w:rsidR="00257BF3" w:rsidRPr="0088347A" w:rsidRDefault="00F84627" w:rsidP="00257BF3">
      <w:pPr>
        <w:spacing w:after="0"/>
        <w:jc w:val="center"/>
        <w:rPr>
          <w:b/>
          <w:bCs/>
          <w:lang w:val="ro-MD"/>
        </w:rPr>
      </w:pPr>
      <w:r w:rsidRPr="0088347A">
        <w:rPr>
          <w:b/>
          <w:bCs/>
          <w:lang w:val="ro-MD"/>
        </w:rPr>
        <w:lastRenderedPageBreak/>
        <w:t>Nivelul de evaluare a riscului</w:t>
      </w:r>
    </w:p>
    <w:p w14:paraId="53E16362" w14:textId="18F67631" w:rsidR="00257BF3" w:rsidRPr="0088347A" w:rsidRDefault="00257BF3" w:rsidP="00257BF3">
      <w:pPr>
        <w:spacing w:after="0"/>
        <w:jc w:val="center"/>
        <w:rPr>
          <w:lang w:val="ro-MD"/>
        </w:rPr>
      </w:pPr>
    </w:p>
    <w:tbl>
      <w:tblPr>
        <w:tblStyle w:val="a3"/>
        <w:tblW w:w="10878" w:type="dxa"/>
        <w:tblInd w:w="-958" w:type="dxa"/>
        <w:tblLook w:val="04A0" w:firstRow="1" w:lastRow="0" w:firstColumn="1" w:lastColumn="0" w:noHBand="0" w:noVBand="1"/>
      </w:tblPr>
      <w:tblGrid>
        <w:gridCol w:w="2719"/>
        <w:gridCol w:w="2719"/>
        <w:gridCol w:w="2719"/>
        <w:gridCol w:w="2721"/>
      </w:tblGrid>
      <w:tr w:rsidR="00A10A91" w:rsidRPr="0088347A" w14:paraId="56CB7CAD" w14:textId="77777777" w:rsidTr="004257DD">
        <w:trPr>
          <w:trHeight w:val="719"/>
        </w:trPr>
        <w:tc>
          <w:tcPr>
            <w:tcW w:w="2719" w:type="dxa"/>
            <w:tcBorders>
              <w:bottom w:val="nil"/>
            </w:tcBorders>
            <w:shd w:val="clear" w:color="auto" w:fill="FFFFFF" w:themeFill="background1"/>
          </w:tcPr>
          <w:p w14:paraId="6232BE2D" w14:textId="7CE46FF5" w:rsidR="00A10A91" w:rsidRPr="0088347A" w:rsidRDefault="00A10A91" w:rsidP="00BA33E3">
            <w:pPr>
              <w:jc w:val="center"/>
              <w:rPr>
                <w:lang w:val="ro-MD"/>
              </w:rPr>
            </w:pPr>
            <w:r w:rsidRPr="0088347A">
              <w:rPr>
                <w:b/>
                <w:bCs/>
                <w:sz w:val="24"/>
                <w:szCs w:val="20"/>
                <w:lang w:val="ro-MD"/>
              </w:rPr>
              <w:t>Criteriu</w:t>
            </w:r>
          </w:p>
        </w:tc>
        <w:tc>
          <w:tcPr>
            <w:tcW w:w="271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A800D7" w14:textId="5941E172" w:rsidR="00A10A91" w:rsidRPr="0088347A" w:rsidRDefault="00A10A91" w:rsidP="00BA33E3">
            <w:pPr>
              <w:jc w:val="center"/>
              <w:rPr>
                <w:b/>
                <w:bCs/>
                <w:sz w:val="24"/>
                <w:szCs w:val="20"/>
                <w:lang w:val="ro-MD"/>
              </w:rPr>
            </w:pPr>
            <w:r w:rsidRPr="0088347A">
              <w:rPr>
                <w:b/>
                <w:bCs/>
                <w:sz w:val="24"/>
                <w:szCs w:val="20"/>
                <w:lang w:val="ro-MD"/>
              </w:rPr>
              <w:t>Standardul</w:t>
            </w:r>
          </w:p>
          <w:p w14:paraId="4FB6A1EF" w14:textId="6235153D" w:rsidR="00A10A91" w:rsidRPr="0088347A" w:rsidRDefault="00A10A91" w:rsidP="00BA33E3">
            <w:pPr>
              <w:jc w:val="center"/>
              <w:rPr>
                <w:b/>
                <w:bCs/>
                <w:lang w:val="ro-MD"/>
              </w:rPr>
            </w:pPr>
            <w:r w:rsidRPr="0088347A">
              <w:rPr>
                <w:b/>
                <w:bCs/>
                <w:sz w:val="24"/>
                <w:szCs w:val="20"/>
                <w:lang w:val="ro-MD"/>
              </w:rPr>
              <w:t>ISO 27005</w:t>
            </w:r>
          </w:p>
        </w:tc>
        <w:tc>
          <w:tcPr>
            <w:tcW w:w="27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6F22A5" w14:textId="297CBCE6" w:rsidR="00A10A91" w:rsidRPr="0088347A" w:rsidRDefault="00A10A91" w:rsidP="00BA33E3">
            <w:pPr>
              <w:jc w:val="center"/>
              <w:rPr>
                <w:b/>
                <w:bCs/>
                <w:color w:val="F2F2F2" w:themeColor="background1" w:themeShade="F2"/>
                <w:lang w:val="ro-MD"/>
              </w:rPr>
            </w:pPr>
            <w:r w:rsidRPr="0088347A">
              <w:rPr>
                <w:b/>
                <w:bCs/>
                <w:sz w:val="24"/>
                <w:szCs w:val="20"/>
                <w:lang w:val="ro-MD"/>
              </w:rPr>
              <w:t>Metodologia Microsoft</w:t>
            </w:r>
          </w:p>
        </w:tc>
        <w:tc>
          <w:tcPr>
            <w:tcW w:w="27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90DF18" w14:textId="31678112" w:rsidR="00A10A91" w:rsidRPr="0088347A" w:rsidRDefault="00A10A91" w:rsidP="00BA33E3">
            <w:pPr>
              <w:jc w:val="center"/>
              <w:rPr>
                <w:b/>
                <w:bCs/>
                <w:color w:val="F2F2F2" w:themeColor="background1" w:themeShade="F2"/>
                <w:lang w:val="ro-MD"/>
              </w:rPr>
            </w:pPr>
            <w:r w:rsidRPr="0088347A">
              <w:rPr>
                <w:b/>
                <w:bCs/>
                <w:sz w:val="24"/>
                <w:szCs w:val="20"/>
                <w:lang w:val="ro-MD"/>
              </w:rPr>
              <w:t>Standardul NIST-SP-800-30 Nr.53</w:t>
            </w:r>
          </w:p>
        </w:tc>
      </w:tr>
      <w:tr w:rsidR="008B316B" w:rsidRPr="0088347A" w14:paraId="3EA4F46D" w14:textId="77777777" w:rsidTr="004257DD">
        <w:trPr>
          <w:trHeight w:val="719"/>
        </w:trPr>
        <w:tc>
          <w:tcPr>
            <w:tcW w:w="2719" w:type="dxa"/>
            <w:tcBorders>
              <w:bottom w:val="nil"/>
            </w:tcBorders>
            <w:shd w:val="clear" w:color="auto" w:fill="FFFFFF" w:themeFill="background1"/>
          </w:tcPr>
          <w:p w14:paraId="27C9FB98" w14:textId="27689D51" w:rsidR="008B316B" w:rsidRPr="0088347A" w:rsidRDefault="00BE59CB" w:rsidP="00BE59CB">
            <w:pPr>
              <w:jc w:val="center"/>
              <w:rPr>
                <w:b/>
                <w:bCs/>
                <w:sz w:val="24"/>
                <w:szCs w:val="20"/>
                <w:lang w:val="ro-MD"/>
              </w:rPr>
            </w:pPr>
            <w:r w:rsidRPr="0088347A">
              <w:rPr>
                <w:b/>
                <w:bCs/>
                <w:sz w:val="24"/>
                <w:szCs w:val="20"/>
                <w:lang w:val="ro-MD"/>
              </w:rPr>
              <w:t>Obiectiv</w:t>
            </w:r>
          </w:p>
        </w:tc>
        <w:tc>
          <w:tcPr>
            <w:tcW w:w="815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F56AFB0" w14:textId="77777777" w:rsidR="004257DD" w:rsidRPr="0088347A" w:rsidRDefault="00A6043E" w:rsidP="00A6043E">
            <w:pPr>
              <w:rPr>
                <w:sz w:val="24"/>
                <w:szCs w:val="20"/>
                <w:lang w:val="ro-MD"/>
              </w:rPr>
            </w:pPr>
            <w:r w:rsidRPr="0088347A">
              <w:rPr>
                <w:sz w:val="24"/>
                <w:szCs w:val="20"/>
                <w:lang w:val="ro-MD"/>
              </w:rPr>
              <w:t xml:space="preserve">Soluționarea eficientă și eficace a defecțiunilor hardware sau software; </w:t>
            </w:r>
          </w:p>
          <w:p w14:paraId="0290DC7D" w14:textId="355F2D39" w:rsidR="008B316B" w:rsidRPr="0088347A" w:rsidRDefault="00A6043E" w:rsidP="00A6043E">
            <w:pPr>
              <w:rPr>
                <w:sz w:val="24"/>
                <w:szCs w:val="20"/>
                <w:lang w:val="ro-MD"/>
              </w:rPr>
            </w:pPr>
            <w:r w:rsidRPr="0088347A">
              <w:rPr>
                <w:sz w:val="24"/>
                <w:szCs w:val="20"/>
                <w:lang w:val="ro-MD"/>
              </w:rPr>
              <w:t>Reducerea la minimum a efectelor dezastrelor naturale cauzate de un incendiu sau o inundație, prevenirea accesului neautorizat al persoanelor nefaste care pot deteriora serverele și dispozitivele de rețea.</w:t>
            </w:r>
          </w:p>
          <w:p w14:paraId="07D983E1" w14:textId="40547171" w:rsidR="00A6043E" w:rsidRPr="0088347A" w:rsidRDefault="00A6043E" w:rsidP="00A6043E">
            <w:pPr>
              <w:rPr>
                <w:sz w:val="24"/>
                <w:szCs w:val="20"/>
                <w:lang w:val="ro-MD"/>
              </w:rPr>
            </w:pPr>
          </w:p>
        </w:tc>
      </w:tr>
      <w:tr w:rsidR="008B316B" w:rsidRPr="0088347A" w14:paraId="6822691D" w14:textId="77777777" w:rsidTr="004257DD">
        <w:trPr>
          <w:trHeight w:val="719"/>
        </w:trPr>
        <w:tc>
          <w:tcPr>
            <w:tcW w:w="2719" w:type="dxa"/>
            <w:vMerge w:val="restart"/>
            <w:shd w:val="clear" w:color="auto" w:fill="4472C4" w:themeFill="accent1"/>
          </w:tcPr>
          <w:p w14:paraId="33BD1EF6" w14:textId="77777777" w:rsidR="008B316B" w:rsidRPr="0088347A" w:rsidRDefault="008B316B" w:rsidP="0017516D">
            <w:pPr>
              <w:rPr>
                <w:lang w:val="ro-MD"/>
              </w:rPr>
            </w:pPr>
            <w:bookmarkStart w:id="1" w:name="_Hlk116134475"/>
          </w:p>
          <w:p w14:paraId="27891AF2" w14:textId="4232D90A" w:rsidR="008B316B" w:rsidRPr="0088347A" w:rsidRDefault="008B316B" w:rsidP="0017516D">
            <w:pPr>
              <w:rPr>
                <w:b/>
                <w:bCs/>
                <w:lang w:val="ro-MD"/>
              </w:rPr>
            </w:pPr>
            <w:r w:rsidRPr="0088347A">
              <w:rPr>
                <w:b/>
                <w:bCs/>
                <w:color w:val="F2F2F2" w:themeColor="background1" w:themeShade="F2"/>
                <w:sz w:val="24"/>
                <w:szCs w:val="20"/>
                <w:lang w:val="ro-MD"/>
              </w:rPr>
              <w:t>Evenimentele care cauzeaza riscul si rezultatele adverse ale impactului</w:t>
            </w:r>
          </w:p>
        </w:tc>
        <w:tc>
          <w:tcPr>
            <w:tcW w:w="2719" w:type="dxa"/>
            <w:tcBorders>
              <w:right w:val="nil"/>
            </w:tcBorders>
            <w:shd w:val="clear" w:color="auto" w:fill="4472C4" w:themeFill="accent1"/>
          </w:tcPr>
          <w:p w14:paraId="51DB8C4E" w14:textId="77777777" w:rsidR="008B316B" w:rsidRPr="0088347A" w:rsidRDefault="008B316B" w:rsidP="00257BF3">
            <w:pPr>
              <w:jc w:val="center"/>
              <w:rPr>
                <w:b/>
                <w:bCs/>
                <w:lang w:val="ro-MD"/>
              </w:rPr>
            </w:pPr>
          </w:p>
        </w:tc>
        <w:tc>
          <w:tcPr>
            <w:tcW w:w="2719" w:type="dxa"/>
            <w:tcBorders>
              <w:left w:val="nil"/>
              <w:right w:val="nil"/>
            </w:tcBorders>
            <w:shd w:val="clear" w:color="auto" w:fill="4472C4" w:themeFill="accent1"/>
          </w:tcPr>
          <w:p w14:paraId="2E2902D5" w14:textId="765E794C" w:rsidR="008B316B" w:rsidRPr="0088347A" w:rsidRDefault="008B316B" w:rsidP="0017516D">
            <w:pPr>
              <w:rPr>
                <w:b/>
                <w:bCs/>
                <w:color w:val="F2F2F2" w:themeColor="background1" w:themeShade="F2"/>
                <w:lang w:val="ro-MD"/>
              </w:rPr>
            </w:pPr>
          </w:p>
          <w:p w14:paraId="2160433C" w14:textId="77777777" w:rsidR="008B316B" w:rsidRPr="0088347A" w:rsidRDefault="008B316B" w:rsidP="0017516D">
            <w:pPr>
              <w:rPr>
                <w:b/>
                <w:bCs/>
                <w:color w:val="F2F2F2" w:themeColor="background1" w:themeShade="F2"/>
                <w:lang w:val="ro-MD"/>
              </w:rPr>
            </w:pPr>
          </w:p>
          <w:p w14:paraId="7007978B" w14:textId="77777777" w:rsidR="008B316B" w:rsidRPr="0088347A" w:rsidRDefault="008B316B" w:rsidP="0017516D">
            <w:pPr>
              <w:jc w:val="center"/>
              <w:rPr>
                <w:b/>
                <w:bCs/>
                <w:color w:val="F2F2F2" w:themeColor="background1" w:themeShade="F2"/>
                <w:lang w:val="ro-MD"/>
              </w:rPr>
            </w:pPr>
            <w:r w:rsidRPr="0088347A">
              <w:rPr>
                <w:b/>
                <w:bCs/>
                <w:color w:val="F2F2F2" w:themeColor="background1" w:themeShade="F2"/>
                <w:lang w:val="ro-MD"/>
              </w:rPr>
              <w:t>Nivelul de impact</w:t>
            </w:r>
          </w:p>
          <w:p w14:paraId="6EA276BB" w14:textId="05001A8F" w:rsidR="008B316B" w:rsidRPr="0088347A" w:rsidRDefault="008B316B" w:rsidP="0017516D">
            <w:pPr>
              <w:jc w:val="center"/>
              <w:rPr>
                <w:b/>
                <w:bCs/>
                <w:color w:val="F2F2F2" w:themeColor="background1" w:themeShade="F2"/>
                <w:lang w:val="ro-MD"/>
              </w:rPr>
            </w:pPr>
          </w:p>
        </w:tc>
        <w:tc>
          <w:tcPr>
            <w:tcW w:w="2719" w:type="dxa"/>
            <w:tcBorders>
              <w:left w:val="nil"/>
            </w:tcBorders>
            <w:shd w:val="clear" w:color="auto" w:fill="4472C4" w:themeFill="accent1"/>
          </w:tcPr>
          <w:p w14:paraId="69B1E170" w14:textId="77777777" w:rsidR="008B316B" w:rsidRPr="0088347A" w:rsidRDefault="008B316B" w:rsidP="00257BF3">
            <w:pPr>
              <w:jc w:val="center"/>
              <w:rPr>
                <w:b/>
                <w:bCs/>
                <w:color w:val="F2F2F2" w:themeColor="background1" w:themeShade="F2"/>
                <w:lang w:val="ro-MD"/>
              </w:rPr>
            </w:pPr>
          </w:p>
        </w:tc>
      </w:tr>
      <w:tr w:rsidR="008B316B" w:rsidRPr="0088347A" w14:paraId="6B38FD15" w14:textId="77777777" w:rsidTr="004257DD">
        <w:trPr>
          <w:trHeight w:val="719"/>
        </w:trPr>
        <w:tc>
          <w:tcPr>
            <w:tcW w:w="2719" w:type="dxa"/>
            <w:vMerge/>
            <w:shd w:val="clear" w:color="auto" w:fill="4472C4" w:themeFill="accent1"/>
          </w:tcPr>
          <w:p w14:paraId="0B277F2A" w14:textId="32299958" w:rsidR="008B316B" w:rsidRPr="0088347A" w:rsidRDefault="008B316B" w:rsidP="0017516D">
            <w:pPr>
              <w:rPr>
                <w:b/>
                <w:bCs/>
                <w:lang w:val="ro-MD"/>
              </w:rPr>
            </w:pPr>
          </w:p>
        </w:tc>
        <w:tc>
          <w:tcPr>
            <w:tcW w:w="2719" w:type="dxa"/>
            <w:shd w:val="clear" w:color="auto" w:fill="B4C6E7" w:themeFill="accent1" w:themeFillTint="66"/>
          </w:tcPr>
          <w:p w14:paraId="05462AE1" w14:textId="3134C594" w:rsidR="008B316B" w:rsidRPr="0088347A" w:rsidRDefault="008B316B" w:rsidP="00257BF3">
            <w:pPr>
              <w:jc w:val="center"/>
              <w:rPr>
                <w:b/>
                <w:bCs/>
                <w:lang w:val="ro-MD"/>
              </w:rPr>
            </w:pPr>
            <w:proofErr w:type="spellStart"/>
            <w:r w:rsidRPr="0088347A">
              <w:rPr>
                <w:b/>
                <w:bCs/>
                <w:lang w:val="ro-MD"/>
              </w:rPr>
              <w:t>Low</w:t>
            </w:r>
            <w:proofErr w:type="spellEnd"/>
          </w:p>
        </w:tc>
        <w:tc>
          <w:tcPr>
            <w:tcW w:w="2719" w:type="dxa"/>
            <w:shd w:val="clear" w:color="auto" w:fill="B4C6E7" w:themeFill="accent1" w:themeFillTint="66"/>
          </w:tcPr>
          <w:p w14:paraId="6FE7AB30" w14:textId="6FACE36C" w:rsidR="008B316B" w:rsidRPr="0088347A" w:rsidRDefault="008B316B" w:rsidP="00257BF3">
            <w:pPr>
              <w:jc w:val="center"/>
              <w:rPr>
                <w:b/>
                <w:bCs/>
                <w:lang w:val="ro-MD"/>
              </w:rPr>
            </w:pPr>
            <w:r w:rsidRPr="0088347A">
              <w:rPr>
                <w:b/>
                <w:bCs/>
                <w:lang w:val="ro-MD"/>
              </w:rPr>
              <w:t>Moderate</w:t>
            </w:r>
          </w:p>
        </w:tc>
        <w:tc>
          <w:tcPr>
            <w:tcW w:w="2719" w:type="dxa"/>
            <w:shd w:val="clear" w:color="auto" w:fill="B4C6E7" w:themeFill="accent1" w:themeFillTint="66"/>
          </w:tcPr>
          <w:p w14:paraId="259F4C25" w14:textId="1CA787A2" w:rsidR="008B316B" w:rsidRPr="0088347A" w:rsidRDefault="008B316B" w:rsidP="00257BF3">
            <w:pPr>
              <w:jc w:val="center"/>
              <w:rPr>
                <w:b/>
                <w:bCs/>
                <w:lang w:val="ro-MD"/>
              </w:rPr>
            </w:pPr>
            <w:proofErr w:type="spellStart"/>
            <w:r w:rsidRPr="0088347A">
              <w:rPr>
                <w:b/>
                <w:bCs/>
                <w:lang w:val="ro-MD"/>
              </w:rPr>
              <w:t>High</w:t>
            </w:r>
            <w:proofErr w:type="spellEnd"/>
          </w:p>
        </w:tc>
      </w:tr>
      <w:tr w:rsidR="004257DD" w:rsidRPr="0088347A" w14:paraId="553D024E" w14:textId="77777777" w:rsidTr="004257DD">
        <w:trPr>
          <w:trHeight w:val="719"/>
        </w:trPr>
        <w:tc>
          <w:tcPr>
            <w:tcW w:w="2719" w:type="dxa"/>
            <w:shd w:val="clear" w:color="auto" w:fill="B4C6E7" w:themeFill="accent1" w:themeFillTint="66"/>
          </w:tcPr>
          <w:p w14:paraId="04520013" w14:textId="4F16E1D7" w:rsidR="00587307" w:rsidRPr="0088347A" w:rsidRDefault="0017516D" w:rsidP="00257BF3">
            <w:pPr>
              <w:jc w:val="center"/>
              <w:rPr>
                <w:lang w:val="ro-MD"/>
              </w:rPr>
            </w:pPr>
            <w:proofErr w:type="spellStart"/>
            <w:r w:rsidRPr="0088347A">
              <w:rPr>
                <w:lang w:val="ro-MD"/>
              </w:rPr>
              <w:t>High</w:t>
            </w:r>
            <w:proofErr w:type="spellEnd"/>
          </w:p>
        </w:tc>
        <w:tc>
          <w:tcPr>
            <w:tcW w:w="2719" w:type="dxa"/>
            <w:shd w:val="clear" w:color="auto" w:fill="A8D08D" w:themeFill="accent6" w:themeFillTint="99"/>
          </w:tcPr>
          <w:p w14:paraId="58D98CAD" w14:textId="179833C2" w:rsidR="00587307" w:rsidRPr="0088347A" w:rsidRDefault="004E01A1" w:rsidP="00257BF3">
            <w:pPr>
              <w:jc w:val="center"/>
              <w:rPr>
                <w:lang w:val="ro-MD"/>
              </w:rPr>
            </w:pPr>
            <w:proofErr w:type="spellStart"/>
            <w:r w:rsidRPr="0088347A">
              <w:rPr>
                <w:lang w:val="ro-MD"/>
              </w:rPr>
              <w:t>Low</w:t>
            </w:r>
            <w:proofErr w:type="spellEnd"/>
            <w:r w:rsidR="000D7DB7" w:rsidRPr="0088347A">
              <w:rPr>
                <w:lang w:val="ro-MD"/>
              </w:rPr>
              <w:t xml:space="preserve"> </w:t>
            </w:r>
            <w:proofErr w:type="spellStart"/>
            <w:r w:rsidR="000D7DB7" w:rsidRPr="0088347A">
              <w:rPr>
                <w:lang w:val="ro-MD"/>
              </w:rPr>
              <w:t>Risk</w:t>
            </w:r>
            <w:proofErr w:type="spellEnd"/>
          </w:p>
        </w:tc>
        <w:tc>
          <w:tcPr>
            <w:tcW w:w="2719" w:type="dxa"/>
            <w:shd w:val="clear" w:color="auto" w:fill="FFD966" w:themeFill="accent4" w:themeFillTint="99"/>
          </w:tcPr>
          <w:p w14:paraId="2CF6B665" w14:textId="5D37C0DA" w:rsidR="00587307" w:rsidRPr="0088347A" w:rsidRDefault="004E01A1" w:rsidP="00257BF3">
            <w:pPr>
              <w:jc w:val="center"/>
              <w:rPr>
                <w:lang w:val="ro-MD"/>
              </w:rPr>
            </w:pPr>
            <w:r w:rsidRPr="0088347A">
              <w:rPr>
                <w:lang w:val="ro-MD"/>
              </w:rPr>
              <w:t>Moderate</w:t>
            </w:r>
            <w:r w:rsidR="000D7DB7" w:rsidRPr="0088347A">
              <w:rPr>
                <w:lang w:val="ro-MD"/>
              </w:rPr>
              <w:t xml:space="preserve"> </w:t>
            </w:r>
            <w:proofErr w:type="spellStart"/>
            <w:r w:rsidR="000D7DB7" w:rsidRPr="0088347A">
              <w:rPr>
                <w:lang w:val="ro-MD"/>
              </w:rPr>
              <w:t>Risk</w:t>
            </w:r>
            <w:proofErr w:type="spellEnd"/>
          </w:p>
        </w:tc>
        <w:tc>
          <w:tcPr>
            <w:tcW w:w="2719" w:type="dxa"/>
            <w:shd w:val="clear" w:color="auto" w:fill="E72121"/>
          </w:tcPr>
          <w:p w14:paraId="0FC0099A" w14:textId="0AD4AB1B" w:rsidR="00587307" w:rsidRPr="0088347A" w:rsidRDefault="000D7DB7" w:rsidP="00257BF3">
            <w:pPr>
              <w:jc w:val="center"/>
              <w:rPr>
                <w:lang w:val="ro-MD"/>
              </w:rPr>
            </w:pPr>
            <w:proofErr w:type="spellStart"/>
            <w:r w:rsidRPr="0088347A">
              <w:rPr>
                <w:lang w:val="ro-MD"/>
              </w:rPr>
              <w:t>Very</w:t>
            </w:r>
            <w:proofErr w:type="spellEnd"/>
            <w:r w:rsidRPr="0088347A">
              <w:rPr>
                <w:lang w:val="ro-MD"/>
              </w:rPr>
              <w:t xml:space="preserve"> </w:t>
            </w:r>
            <w:proofErr w:type="spellStart"/>
            <w:r w:rsidRPr="0088347A">
              <w:rPr>
                <w:lang w:val="ro-MD"/>
              </w:rPr>
              <w:t>High</w:t>
            </w:r>
            <w:proofErr w:type="spellEnd"/>
            <w:r w:rsidRPr="0088347A">
              <w:rPr>
                <w:lang w:val="ro-MD"/>
              </w:rPr>
              <w:t xml:space="preserve"> </w:t>
            </w:r>
            <w:proofErr w:type="spellStart"/>
            <w:r w:rsidRPr="0088347A">
              <w:rPr>
                <w:lang w:val="ro-MD"/>
              </w:rPr>
              <w:t>Risk</w:t>
            </w:r>
            <w:proofErr w:type="spellEnd"/>
          </w:p>
        </w:tc>
      </w:tr>
      <w:tr w:rsidR="004257DD" w:rsidRPr="0088347A" w14:paraId="4B7A7C9E" w14:textId="77777777" w:rsidTr="004257DD">
        <w:trPr>
          <w:trHeight w:val="752"/>
        </w:trPr>
        <w:tc>
          <w:tcPr>
            <w:tcW w:w="2719" w:type="dxa"/>
            <w:shd w:val="clear" w:color="auto" w:fill="B4C6E7" w:themeFill="accent1" w:themeFillTint="66"/>
          </w:tcPr>
          <w:p w14:paraId="208E4E5E" w14:textId="01D5F4A7" w:rsidR="00587307" w:rsidRPr="0088347A" w:rsidRDefault="0017516D" w:rsidP="00257BF3">
            <w:pPr>
              <w:jc w:val="center"/>
              <w:rPr>
                <w:lang w:val="ro-MD"/>
              </w:rPr>
            </w:pPr>
            <w:r w:rsidRPr="0088347A">
              <w:rPr>
                <w:lang w:val="ro-MD"/>
              </w:rPr>
              <w:t>Moderate</w:t>
            </w:r>
          </w:p>
        </w:tc>
        <w:tc>
          <w:tcPr>
            <w:tcW w:w="2719" w:type="dxa"/>
            <w:shd w:val="clear" w:color="auto" w:fill="A8D08D" w:themeFill="accent6" w:themeFillTint="99"/>
          </w:tcPr>
          <w:p w14:paraId="0E61326F" w14:textId="44FC83FB" w:rsidR="00587307" w:rsidRPr="0088347A" w:rsidRDefault="004E01A1" w:rsidP="00257BF3">
            <w:pPr>
              <w:jc w:val="center"/>
              <w:rPr>
                <w:lang w:val="ro-MD"/>
              </w:rPr>
            </w:pPr>
            <w:proofErr w:type="spellStart"/>
            <w:r w:rsidRPr="0088347A">
              <w:rPr>
                <w:lang w:val="ro-MD"/>
              </w:rPr>
              <w:t>Low</w:t>
            </w:r>
            <w:proofErr w:type="spellEnd"/>
            <w:r w:rsidR="000D7DB7" w:rsidRPr="0088347A">
              <w:rPr>
                <w:lang w:val="ro-MD"/>
              </w:rPr>
              <w:t xml:space="preserve"> </w:t>
            </w:r>
            <w:proofErr w:type="spellStart"/>
            <w:r w:rsidR="000D7DB7" w:rsidRPr="0088347A">
              <w:rPr>
                <w:lang w:val="ro-MD"/>
              </w:rPr>
              <w:t>Risk</w:t>
            </w:r>
            <w:proofErr w:type="spellEnd"/>
          </w:p>
        </w:tc>
        <w:tc>
          <w:tcPr>
            <w:tcW w:w="2719" w:type="dxa"/>
            <w:shd w:val="clear" w:color="auto" w:fill="FFD966" w:themeFill="accent4" w:themeFillTint="99"/>
          </w:tcPr>
          <w:p w14:paraId="41D88E56" w14:textId="3B410A39" w:rsidR="00587307" w:rsidRPr="0088347A" w:rsidRDefault="004E01A1" w:rsidP="00257BF3">
            <w:pPr>
              <w:jc w:val="center"/>
              <w:rPr>
                <w:lang w:val="ro-MD"/>
              </w:rPr>
            </w:pPr>
            <w:r w:rsidRPr="0088347A">
              <w:rPr>
                <w:lang w:val="ro-MD"/>
              </w:rPr>
              <w:t>Moderate</w:t>
            </w:r>
            <w:r w:rsidR="000D7DB7" w:rsidRPr="0088347A">
              <w:rPr>
                <w:lang w:val="ro-MD"/>
              </w:rPr>
              <w:t xml:space="preserve"> </w:t>
            </w:r>
            <w:proofErr w:type="spellStart"/>
            <w:r w:rsidR="000D7DB7" w:rsidRPr="0088347A">
              <w:rPr>
                <w:lang w:val="ro-MD"/>
              </w:rPr>
              <w:t>Risk</w:t>
            </w:r>
            <w:proofErr w:type="spellEnd"/>
          </w:p>
        </w:tc>
        <w:tc>
          <w:tcPr>
            <w:tcW w:w="2719" w:type="dxa"/>
            <w:shd w:val="clear" w:color="auto" w:fill="E72121"/>
          </w:tcPr>
          <w:p w14:paraId="2BD9540F" w14:textId="1D595162" w:rsidR="00587307" w:rsidRPr="0088347A" w:rsidRDefault="008E1697" w:rsidP="00257BF3">
            <w:pPr>
              <w:jc w:val="center"/>
              <w:rPr>
                <w:lang w:val="ro-MD"/>
              </w:rPr>
            </w:pPr>
            <w:proofErr w:type="spellStart"/>
            <w:r w:rsidRPr="0088347A">
              <w:rPr>
                <w:lang w:val="ro-MD"/>
              </w:rPr>
              <w:t>High</w:t>
            </w:r>
            <w:proofErr w:type="spellEnd"/>
            <w:r w:rsidRPr="0088347A">
              <w:rPr>
                <w:lang w:val="ro-MD"/>
              </w:rPr>
              <w:t xml:space="preserve"> </w:t>
            </w:r>
            <w:proofErr w:type="spellStart"/>
            <w:r w:rsidRPr="0088347A">
              <w:rPr>
                <w:lang w:val="ro-MD"/>
              </w:rPr>
              <w:t>Risk</w:t>
            </w:r>
            <w:proofErr w:type="spellEnd"/>
          </w:p>
        </w:tc>
      </w:tr>
      <w:tr w:rsidR="004257DD" w:rsidRPr="0088347A" w14:paraId="2D83F74E" w14:textId="77777777" w:rsidTr="004257DD">
        <w:trPr>
          <w:trHeight w:val="683"/>
        </w:trPr>
        <w:tc>
          <w:tcPr>
            <w:tcW w:w="2719" w:type="dxa"/>
            <w:shd w:val="clear" w:color="auto" w:fill="B4C6E7" w:themeFill="accent1" w:themeFillTint="66"/>
          </w:tcPr>
          <w:p w14:paraId="350BA9F1" w14:textId="7B7AB515" w:rsidR="00587307" w:rsidRPr="0088347A" w:rsidRDefault="0017516D" w:rsidP="00257BF3">
            <w:pPr>
              <w:jc w:val="center"/>
              <w:rPr>
                <w:lang w:val="ro-MD"/>
              </w:rPr>
            </w:pPr>
            <w:proofErr w:type="spellStart"/>
            <w:r w:rsidRPr="0088347A">
              <w:rPr>
                <w:lang w:val="ro-MD"/>
              </w:rPr>
              <w:t>Low</w:t>
            </w:r>
            <w:proofErr w:type="spellEnd"/>
          </w:p>
        </w:tc>
        <w:tc>
          <w:tcPr>
            <w:tcW w:w="2719" w:type="dxa"/>
            <w:shd w:val="clear" w:color="auto" w:fill="A8D08D" w:themeFill="accent6" w:themeFillTint="99"/>
          </w:tcPr>
          <w:p w14:paraId="1B8355A6" w14:textId="327608A9" w:rsidR="00587307" w:rsidRPr="0088347A" w:rsidRDefault="004E01A1" w:rsidP="00257BF3">
            <w:pPr>
              <w:jc w:val="center"/>
              <w:rPr>
                <w:lang w:val="ro-MD"/>
              </w:rPr>
            </w:pPr>
            <w:proofErr w:type="spellStart"/>
            <w:r w:rsidRPr="0088347A">
              <w:rPr>
                <w:lang w:val="ro-MD"/>
              </w:rPr>
              <w:t>Low</w:t>
            </w:r>
            <w:proofErr w:type="spellEnd"/>
            <w:r w:rsidR="000D7DB7" w:rsidRPr="0088347A">
              <w:rPr>
                <w:lang w:val="ro-MD"/>
              </w:rPr>
              <w:t xml:space="preserve"> </w:t>
            </w:r>
            <w:proofErr w:type="spellStart"/>
            <w:r w:rsidR="000D7DB7" w:rsidRPr="0088347A">
              <w:rPr>
                <w:lang w:val="ro-MD"/>
              </w:rPr>
              <w:t>Risk</w:t>
            </w:r>
            <w:proofErr w:type="spellEnd"/>
          </w:p>
        </w:tc>
        <w:tc>
          <w:tcPr>
            <w:tcW w:w="2719" w:type="dxa"/>
            <w:shd w:val="clear" w:color="auto" w:fill="A8D08D" w:themeFill="accent6" w:themeFillTint="99"/>
          </w:tcPr>
          <w:p w14:paraId="187985A4" w14:textId="3C3A09F7" w:rsidR="00587307" w:rsidRPr="0088347A" w:rsidRDefault="004E01A1" w:rsidP="00257BF3">
            <w:pPr>
              <w:jc w:val="center"/>
              <w:rPr>
                <w:lang w:val="ro-MD"/>
              </w:rPr>
            </w:pPr>
            <w:proofErr w:type="spellStart"/>
            <w:r w:rsidRPr="0088347A">
              <w:rPr>
                <w:lang w:val="ro-MD"/>
              </w:rPr>
              <w:t>Low</w:t>
            </w:r>
            <w:proofErr w:type="spellEnd"/>
            <w:r w:rsidR="000D7DB7" w:rsidRPr="0088347A">
              <w:rPr>
                <w:lang w:val="ro-MD"/>
              </w:rPr>
              <w:t xml:space="preserve"> </w:t>
            </w:r>
            <w:proofErr w:type="spellStart"/>
            <w:r w:rsidR="000D7DB7" w:rsidRPr="0088347A">
              <w:rPr>
                <w:lang w:val="ro-MD"/>
              </w:rPr>
              <w:t>Risk</w:t>
            </w:r>
            <w:proofErr w:type="spellEnd"/>
          </w:p>
        </w:tc>
        <w:tc>
          <w:tcPr>
            <w:tcW w:w="2719" w:type="dxa"/>
            <w:shd w:val="clear" w:color="auto" w:fill="FFD966" w:themeFill="accent4" w:themeFillTint="99"/>
          </w:tcPr>
          <w:p w14:paraId="0908B13C" w14:textId="2EEE01C4" w:rsidR="00587307" w:rsidRPr="0088347A" w:rsidRDefault="008E1697" w:rsidP="00257BF3">
            <w:pPr>
              <w:jc w:val="center"/>
              <w:rPr>
                <w:lang w:val="ro-MD"/>
              </w:rPr>
            </w:pPr>
            <w:r w:rsidRPr="0088347A">
              <w:rPr>
                <w:lang w:val="ro-MD"/>
              </w:rPr>
              <w:t xml:space="preserve">Moderate </w:t>
            </w:r>
            <w:proofErr w:type="spellStart"/>
            <w:r w:rsidRPr="0088347A">
              <w:rPr>
                <w:lang w:val="ro-MD"/>
              </w:rPr>
              <w:t>Risk</w:t>
            </w:r>
            <w:proofErr w:type="spellEnd"/>
          </w:p>
        </w:tc>
      </w:tr>
      <w:tr w:rsidR="00BE59CB" w:rsidRPr="0088347A" w14:paraId="27AC609C" w14:textId="77777777" w:rsidTr="004257DD">
        <w:trPr>
          <w:trHeight w:val="683"/>
        </w:trPr>
        <w:tc>
          <w:tcPr>
            <w:tcW w:w="2719" w:type="dxa"/>
            <w:shd w:val="clear" w:color="auto" w:fill="auto"/>
          </w:tcPr>
          <w:p w14:paraId="36971CF0" w14:textId="48F56C15" w:rsidR="00BE59CB" w:rsidRPr="0088347A" w:rsidRDefault="004257DD" w:rsidP="00257BF3">
            <w:pPr>
              <w:jc w:val="center"/>
              <w:rPr>
                <w:b/>
                <w:bCs/>
                <w:lang w:val="ro-MD"/>
              </w:rPr>
            </w:pPr>
            <w:r w:rsidRPr="0088347A">
              <w:rPr>
                <w:b/>
                <w:bCs/>
                <w:sz w:val="24"/>
                <w:szCs w:val="20"/>
                <w:lang w:val="ro-MD"/>
              </w:rPr>
              <w:t xml:space="preserve">Valoarea </w:t>
            </w:r>
            <w:proofErr w:type="spellStart"/>
            <w:r w:rsidRPr="0088347A">
              <w:rPr>
                <w:b/>
                <w:bCs/>
                <w:sz w:val="24"/>
                <w:szCs w:val="20"/>
                <w:lang w:val="ro-MD"/>
              </w:rPr>
              <w:t>probabilitatii</w:t>
            </w:r>
            <w:proofErr w:type="spellEnd"/>
            <w:r w:rsidRPr="0088347A">
              <w:rPr>
                <w:b/>
                <w:bCs/>
                <w:sz w:val="24"/>
                <w:szCs w:val="20"/>
                <w:lang w:val="ro-MD"/>
              </w:rPr>
              <w:t xml:space="preserve"> </w:t>
            </w:r>
          </w:p>
        </w:tc>
        <w:tc>
          <w:tcPr>
            <w:tcW w:w="2719" w:type="dxa"/>
            <w:shd w:val="clear" w:color="auto" w:fill="auto"/>
          </w:tcPr>
          <w:p w14:paraId="5E3DE3D9" w14:textId="4010B90A" w:rsidR="00BE59CB" w:rsidRPr="0088347A" w:rsidRDefault="004257DD" w:rsidP="00257BF3">
            <w:pPr>
              <w:jc w:val="center"/>
              <w:rPr>
                <w:b/>
                <w:bCs/>
                <w:lang w:val="ro-MD"/>
              </w:rPr>
            </w:pPr>
            <w:proofErr w:type="spellStart"/>
            <w:r w:rsidRPr="0088347A">
              <w:rPr>
                <w:b/>
                <w:bCs/>
                <w:lang w:val="ro-MD"/>
              </w:rPr>
              <w:t>Low</w:t>
            </w:r>
            <w:proofErr w:type="spellEnd"/>
          </w:p>
        </w:tc>
        <w:tc>
          <w:tcPr>
            <w:tcW w:w="2719" w:type="dxa"/>
            <w:shd w:val="clear" w:color="auto" w:fill="auto"/>
          </w:tcPr>
          <w:p w14:paraId="075AF2AC" w14:textId="5AF7B317" w:rsidR="00BE59CB" w:rsidRPr="0088347A" w:rsidRDefault="004257DD" w:rsidP="00257BF3">
            <w:pPr>
              <w:jc w:val="center"/>
              <w:rPr>
                <w:b/>
                <w:bCs/>
                <w:lang w:val="ro-MD"/>
              </w:rPr>
            </w:pPr>
            <w:r w:rsidRPr="0088347A">
              <w:rPr>
                <w:b/>
                <w:bCs/>
                <w:lang w:val="ro-MD"/>
              </w:rPr>
              <w:t>Moderate</w:t>
            </w:r>
          </w:p>
        </w:tc>
        <w:tc>
          <w:tcPr>
            <w:tcW w:w="2719" w:type="dxa"/>
            <w:shd w:val="clear" w:color="auto" w:fill="auto"/>
          </w:tcPr>
          <w:p w14:paraId="471C671B" w14:textId="2B81443E" w:rsidR="00BE59CB" w:rsidRPr="0088347A" w:rsidRDefault="004257DD" w:rsidP="00257BF3">
            <w:pPr>
              <w:jc w:val="center"/>
              <w:rPr>
                <w:b/>
                <w:bCs/>
                <w:lang w:val="ro-MD"/>
              </w:rPr>
            </w:pPr>
            <w:proofErr w:type="spellStart"/>
            <w:r w:rsidRPr="0088347A">
              <w:rPr>
                <w:b/>
                <w:bCs/>
                <w:lang w:val="ro-MD"/>
              </w:rPr>
              <w:t>High</w:t>
            </w:r>
            <w:proofErr w:type="spellEnd"/>
          </w:p>
        </w:tc>
      </w:tr>
      <w:bookmarkEnd w:id="1"/>
    </w:tbl>
    <w:p w14:paraId="5F5DC42F" w14:textId="77777777" w:rsidR="00134703" w:rsidRPr="0088347A" w:rsidRDefault="00134703" w:rsidP="008C65FF">
      <w:pPr>
        <w:spacing w:after="0"/>
        <w:rPr>
          <w:vanish/>
          <w:lang w:val="ro-MD"/>
          <w:specVanish/>
        </w:rPr>
      </w:pPr>
    </w:p>
    <w:p w14:paraId="3B50D83C" w14:textId="6B3D6CA1" w:rsidR="00134703" w:rsidRPr="0088347A" w:rsidRDefault="00134703" w:rsidP="00134703">
      <w:pPr>
        <w:rPr>
          <w:lang w:val="ro-MD"/>
        </w:rPr>
      </w:pPr>
      <w:r w:rsidRPr="0088347A">
        <w:rPr>
          <w:lang w:val="ro-MD"/>
        </w:rPr>
        <w:t xml:space="preserve"> </w:t>
      </w:r>
    </w:p>
    <w:p w14:paraId="2E7D4DDB" w14:textId="77777777" w:rsidR="00134703" w:rsidRPr="0088347A" w:rsidRDefault="00134703">
      <w:pPr>
        <w:spacing w:line="259" w:lineRule="auto"/>
        <w:rPr>
          <w:lang w:val="ro-MD"/>
        </w:rPr>
      </w:pPr>
      <w:r w:rsidRPr="0088347A">
        <w:rPr>
          <w:lang w:val="ro-MD"/>
        </w:rPr>
        <w:br w:type="page"/>
      </w:r>
    </w:p>
    <w:p w14:paraId="490BF832" w14:textId="59346F57" w:rsidR="003269AB" w:rsidRPr="0088347A" w:rsidRDefault="00134703" w:rsidP="00134703">
      <w:pPr>
        <w:rPr>
          <w:b/>
          <w:bCs/>
          <w:lang w:val="ro-MD"/>
        </w:rPr>
      </w:pPr>
      <w:r w:rsidRPr="0088347A">
        <w:rPr>
          <w:b/>
          <w:bCs/>
          <w:lang w:val="ro-MD"/>
        </w:rPr>
        <w:lastRenderedPageBreak/>
        <w:t>Deosebiri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134703" w:rsidRPr="0088347A" w14:paraId="3427B928" w14:textId="77777777" w:rsidTr="00134703">
        <w:tc>
          <w:tcPr>
            <w:tcW w:w="2336" w:type="dxa"/>
          </w:tcPr>
          <w:p w14:paraId="7F4D049E" w14:textId="6D6AE182" w:rsidR="00134703" w:rsidRPr="0088347A" w:rsidRDefault="00134703" w:rsidP="00B55279">
            <w:pPr>
              <w:rPr>
                <w:rFonts w:cs="Times New Roman"/>
                <w:b/>
                <w:bCs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b/>
                <w:bCs/>
                <w:sz w:val="24"/>
                <w:szCs w:val="24"/>
                <w:lang w:val="ro-MD"/>
              </w:rPr>
              <w:t>Standard</w:t>
            </w:r>
            <w:r w:rsidR="00812A0C" w:rsidRPr="0088347A">
              <w:rPr>
                <w:rFonts w:cs="Times New Roman"/>
                <w:b/>
                <w:bCs/>
                <w:sz w:val="24"/>
                <w:szCs w:val="24"/>
                <w:lang w:val="ro-MD"/>
              </w:rPr>
              <w:t>/</w:t>
            </w:r>
          </w:p>
          <w:p w14:paraId="18254DE3" w14:textId="559621D5" w:rsidR="00134703" w:rsidRPr="0088347A" w:rsidRDefault="00134703" w:rsidP="00B55279">
            <w:pPr>
              <w:rPr>
                <w:rFonts w:cs="Times New Roman"/>
                <w:b/>
                <w:bCs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b/>
                <w:bCs/>
                <w:sz w:val="24"/>
                <w:szCs w:val="24"/>
                <w:lang w:val="ro-MD"/>
              </w:rPr>
              <w:t>Criteriu</w:t>
            </w:r>
          </w:p>
        </w:tc>
        <w:tc>
          <w:tcPr>
            <w:tcW w:w="2336" w:type="dxa"/>
          </w:tcPr>
          <w:p w14:paraId="37AC233E" w14:textId="77777777" w:rsidR="00134703" w:rsidRPr="0088347A" w:rsidRDefault="00134703" w:rsidP="00B55279">
            <w:pPr>
              <w:rPr>
                <w:rFonts w:cs="Times New Roman"/>
                <w:b/>
                <w:bCs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b/>
                <w:bCs/>
                <w:sz w:val="24"/>
                <w:szCs w:val="24"/>
                <w:lang w:val="ro-MD"/>
              </w:rPr>
              <w:t>Standardul</w:t>
            </w:r>
          </w:p>
          <w:p w14:paraId="6A29BD14" w14:textId="61D0C050" w:rsidR="00134703" w:rsidRPr="0088347A" w:rsidRDefault="00134703" w:rsidP="00B55279">
            <w:pPr>
              <w:rPr>
                <w:rFonts w:cs="Times New Roman"/>
                <w:b/>
                <w:bCs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b/>
                <w:bCs/>
                <w:sz w:val="24"/>
                <w:szCs w:val="24"/>
                <w:lang w:val="ro-MD"/>
              </w:rPr>
              <w:t>ISO 27005</w:t>
            </w:r>
          </w:p>
        </w:tc>
        <w:tc>
          <w:tcPr>
            <w:tcW w:w="2336" w:type="dxa"/>
          </w:tcPr>
          <w:p w14:paraId="5E478A45" w14:textId="325785B2" w:rsidR="00134703" w:rsidRPr="0088347A" w:rsidRDefault="00134703" w:rsidP="00B55279">
            <w:pPr>
              <w:rPr>
                <w:rFonts w:cs="Times New Roman"/>
                <w:b/>
                <w:bCs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b/>
                <w:bCs/>
                <w:sz w:val="24"/>
                <w:szCs w:val="24"/>
                <w:lang w:val="ro-MD"/>
              </w:rPr>
              <w:t>Metodologia Microsoft</w:t>
            </w:r>
          </w:p>
        </w:tc>
        <w:tc>
          <w:tcPr>
            <w:tcW w:w="2336" w:type="dxa"/>
          </w:tcPr>
          <w:p w14:paraId="79906961" w14:textId="6DAC1337" w:rsidR="00134703" w:rsidRPr="0088347A" w:rsidRDefault="00134703" w:rsidP="00134703">
            <w:pPr>
              <w:rPr>
                <w:rFonts w:cs="Times New Roman"/>
                <w:b/>
                <w:bCs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b/>
                <w:bCs/>
                <w:sz w:val="24"/>
                <w:szCs w:val="24"/>
                <w:lang w:val="ro-MD"/>
              </w:rPr>
              <w:t>Standardul NIST-SP-800-30 Nr.53</w:t>
            </w:r>
          </w:p>
        </w:tc>
      </w:tr>
      <w:tr w:rsidR="00134703" w:rsidRPr="0088347A" w14:paraId="66EF51C2" w14:textId="77777777" w:rsidTr="00134703">
        <w:tc>
          <w:tcPr>
            <w:tcW w:w="2336" w:type="dxa"/>
          </w:tcPr>
          <w:p w14:paraId="72F70460" w14:textId="2631EF2C" w:rsidR="00134703" w:rsidRPr="0088347A" w:rsidRDefault="00134703" w:rsidP="00B55279">
            <w:pPr>
              <w:rPr>
                <w:rFonts w:cs="Times New Roman"/>
                <w:b/>
                <w:bCs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b/>
                <w:bCs/>
                <w:sz w:val="24"/>
                <w:szCs w:val="24"/>
                <w:lang w:val="ro-MD"/>
              </w:rPr>
              <w:t>Tipuri de active</w:t>
            </w:r>
          </w:p>
        </w:tc>
        <w:tc>
          <w:tcPr>
            <w:tcW w:w="2336" w:type="dxa"/>
          </w:tcPr>
          <w:p w14:paraId="48211B30" w14:textId="77777777" w:rsidR="00134703" w:rsidRPr="0088347A" w:rsidRDefault="00134703" w:rsidP="00B55279">
            <w:pPr>
              <w:rPr>
                <w:rFonts w:cs="Times New Roman"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>2 tipuri de active primare:</w:t>
            </w:r>
          </w:p>
          <w:p w14:paraId="391CDD33" w14:textId="4D8C7CFF" w:rsidR="00134703" w:rsidRPr="0088347A" w:rsidRDefault="00812A0C" w:rsidP="00B55279">
            <w:pPr>
              <w:rPr>
                <w:rFonts w:cs="Times New Roman"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 xml:space="preserve">1. </w:t>
            </w:r>
            <w:r w:rsidR="00134703" w:rsidRPr="0088347A">
              <w:rPr>
                <w:rFonts w:cs="Times New Roman"/>
                <w:sz w:val="24"/>
                <w:szCs w:val="24"/>
                <w:lang w:val="ro-MD"/>
              </w:rPr>
              <w:t>Procese (ori sub-procese) de business și activități</w:t>
            </w:r>
          </w:p>
          <w:p w14:paraId="72EDDC07" w14:textId="21A42D90" w:rsidR="00134703" w:rsidRPr="0088347A" w:rsidRDefault="00812A0C" w:rsidP="00B55279">
            <w:pPr>
              <w:rPr>
                <w:rFonts w:cs="Times New Roman"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 xml:space="preserve">2. </w:t>
            </w:r>
            <w:r w:rsidR="00134703" w:rsidRPr="0088347A">
              <w:rPr>
                <w:rFonts w:cs="Times New Roman"/>
                <w:sz w:val="24"/>
                <w:szCs w:val="24"/>
                <w:lang w:val="ro-MD"/>
              </w:rPr>
              <w:t>Informații</w:t>
            </w:r>
          </w:p>
          <w:p w14:paraId="096FD6B5" w14:textId="2256B1C0" w:rsidR="00134703" w:rsidRPr="0088347A" w:rsidRDefault="00134703" w:rsidP="00B55279">
            <w:pPr>
              <w:rPr>
                <w:rFonts w:cs="Times New Roman"/>
                <w:b/>
                <w:bCs/>
                <w:sz w:val="24"/>
                <w:szCs w:val="24"/>
                <w:lang w:val="ro-MD"/>
              </w:rPr>
            </w:pPr>
          </w:p>
        </w:tc>
        <w:tc>
          <w:tcPr>
            <w:tcW w:w="2336" w:type="dxa"/>
          </w:tcPr>
          <w:p w14:paraId="31993816" w14:textId="77777777" w:rsidR="00134703" w:rsidRPr="0088347A" w:rsidRDefault="00C65C79" w:rsidP="00B55279">
            <w:pPr>
              <w:rPr>
                <w:rFonts w:cs="Times New Roman"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>3 tipuri de active:</w:t>
            </w:r>
          </w:p>
          <w:p w14:paraId="7AE67D7C" w14:textId="0C8D1131" w:rsidR="00C65C79" w:rsidRPr="0088347A" w:rsidRDefault="00812A0C" w:rsidP="00B55279">
            <w:pPr>
              <w:rPr>
                <w:rFonts w:cs="Times New Roman"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 xml:space="preserve">1. </w:t>
            </w:r>
            <w:r w:rsidR="00C65C79" w:rsidRPr="0088347A">
              <w:rPr>
                <w:rFonts w:cs="Times New Roman"/>
                <w:sz w:val="24"/>
                <w:szCs w:val="24"/>
                <w:lang w:val="ro-MD"/>
              </w:rPr>
              <w:t>Materiale</w:t>
            </w:r>
          </w:p>
          <w:p w14:paraId="286A690E" w14:textId="1AD945D7" w:rsidR="00C65C79" w:rsidRPr="0088347A" w:rsidRDefault="00812A0C" w:rsidP="00B55279">
            <w:pPr>
              <w:rPr>
                <w:rFonts w:cs="Times New Roman"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 xml:space="preserve">2. </w:t>
            </w:r>
            <w:r w:rsidR="00C65C79" w:rsidRPr="0088347A">
              <w:rPr>
                <w:rFonts w:cs="Times New Roman"/>
                <w:sz w:val="24"/>
                <w:szCs w:val="24"/>
                <w:lang w:val="ro-MD"/>
              </w:rPr>
              <w:t>Nemateriale</w:t>
            </w:r>
          </w:p>
          <w:p w14:paraId="228C8CBC" w14:textId="1C59160F" w:rsidR="00C65C79" w:rsidRPr="0088347A" w:rsidRDefault="00812A0C" w:rsidP="00B55279">
            <w:pPr>
              <w:rPr>
                <w:rFonts w:cs="Times New Roman"/>
                <w:b/>
                <w:bCs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 xml:space="preserve">3. </w:t>
            </w:r>
            <w:r w:rsidR="00C65C79" w:rsidRPr="0088347A">
              <w:rPr>
                <w:rFonts w:cs="Times New Roman"/>
                <w:sz w:val="24"/>
                <w:szCs w:val="24"/>
                <w:lang w:val="ro-MD"/>
              </w:rPr>
              <w:t>IT</w:t>
            </w:r>
          </w:p>
        </w:tc>
        <w:tc>
          <w:tcPr>
            <w:tcW w:w="2336" w:type="dxa"/>
          </w:tcPr>
          <w:p w14:paraId="53828B6F" w14:textId="518AB26B" w:rsidR="00AD6DA5" w:rsidRPr="0088347A" w:rsidRDefault="00812A0C" w:rsidP="00812A0C">
            <w:pPr>
              <w:jc w:val="both"/>
              <w:rPr>
                <w:rFonts w:cs="Times New Roman"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 xml:space="preserve">2 </w:t>
            </w:r>
            <w:r w:rsidR="00AD6DA5" w:rsidRPr="0088347A">
              <w:rPr>
                <w:rFonts w:cs="Times New Roman"/>
                <w:sz w:val="24"/>
                <w:szCs w:val="24"/>
                <w:lang w:val="ro-MD"/>
              </w:rPr>
              <w:t>tipuri de active:</w:t>
            </w:r>
          </w:p>
          <w:p w14:paraId="522C1457" w14:textId="7C6D7DD3" w:rsidR="00AD6DA5" w:rsidRPr="0088347A" w:rsidRDefault="00812A0C" w:rsidP="00812A0C">
            <w:pPr>
              <w:jc w:val="both"/>
              <w:rPr>
                <w:rFonts w:cs="Times New Roman"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 xml:space="preserve">1. </w:t>
            </w:r>
            <w:r w:rsidR="00AD6DA5" w:rsidRPr="0088347A">
              <w:rPr>
                <w:rFonts w:cs="Times New Roman"/>
                <w:sz w:val="24"/>
                <w:szCs w:val="24"/>
                <w:lang w:val="ro-MD"/>
              </w:rPr>
              <w:t xml:space="preserve">Corporative </w:t>
            </w:r>
          </w:p>
          <w:p w14:paraId="04FFDDDE" w14:textId="0F81054F" w:rsidR="00134703" w:rsidRPr="0088347A" w:rsidRDefault="00812A0C" w:rsidP="00812A0C">
            <w:pPr>
              <w:rPr>
                <w:rFonts w:cs="Times New Roman"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 xml:space="preserve">2. </w:t>
            </w:r>
            <w:r w:rsidR="00AD6DA5" w:rsidRPr="0088347A">
              <w:rPr>
                <w:rFonts w:cs="Times New Roman"/>
                <w:sz w:val="24"/>
                <w:szCs w:val="24"/>
                <w:lang w:val="ro-MD"/>
              </w:rPr>
              <w:t>Necorporative</w:t>
            </w:r>
          </w:p>
        </w:tc>
      </w:tr>
      <w:tr w:rsidR="00134703" w:rsidRPr="0088347A" w14:paraId="091CC4DD" w14:textId="77777777" w:rsidTr="00134703">
        <w:tc>
          <w:tcPr>
            <w:tcW w:w="2336" w:type="dxa"/>
          </w:tcPr>
          <w:p w14:paraId="06205D97" w14:textId="1D809033" w:rsidR="00134703" w:rsidRPr="0088347A" w:rsidRDefault="00134703" w:rsidP="00B55279">
            <w:pPr>
              <w:rPr>
                <w:rFonts w:cs="Times New Roman"/>
                <w:b/>
                <w:bCs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b/>
                <w:bCs/>
                <w:sz w:val="24"/>
                <w:szCs w:val="24"/>
                <w:lang w:val="ro-MD"/>
              </w:rPr>
              <w:t>Impact</w:t>
            </w:r>
          </w:p>
        </w:tc>
        <w:tc>
          <w:tcPr>
            <w:tcW w:w="2336" w:type="dxa"/>
          </w:tcPr>
          <w:p w14:paraId="77931135" w14:textId="77777777" w:rsidR="008A07F8" w:rsidRPr="0088347A" w:rsidRDefault="008A07F8" w:rsidP="00B55279">
            <w:pPr>
              <w:rPr>
                <w:rFonts w:cs="Times New Roman"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>2 tipuri de impact imediat:</w:t>
            </w:r>
          </w:p>
          <w:p w14:paraId="6008177C" w14:textId="3844E9EC" w:rsidR="008A07F8" w:rsidRPr="0088347A" w:rsidRDefault="00541ADD" w:rsidP="00B55279">
            <w:pPr>
              <w:rPr>
                <w:rFonts w:cs="Times New Roman"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 xml:space="preserve">1. </w:t>
            </w:r>
            <w:r w:rsidR="008A07F8" w:rsidRPr="0088347A">
              <w:rPr>
                <w:rFonts w:cs="Times New Roman"/>
                <w:sz w:val="24"/>
                <w:szCs w:val="24"/>
                <w:lang w:val="ro-MD"/>
              </w:rPr>
              <w:t xml:space="preserve">Direct </w:t>
            </w:r>
          </w:p>
          <w:p w14:paraId="22B322BA" w14:textId="7AD42964" w:rsidR="00134703" w:rsidRPr="0088347A" w:rsidRDefault="00541ADD" w:rsidP="00B55279">
            <w:pPr>
              <w:rPr>
                <w:rFonts w:cs="Times New Roman"/>
                <w:b/>
                <w:bCs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 xml:space="preserve">2. </w:t>
            </w:r>
            <w:r w:rsidR="008A07F8" w:rsidRPr="0088347A">
              <w:rPr>
                <w:rFonts w:cs="Times New Roman"/>
                <w:sz w:val="24"/>
                <w:szCs w:val="24"/>
                <w:lang w:val="ro-MD"/>
              </w:rPr>
              <w:t>Indirect</w:t>
            </w:r>
          </w:p>
        </w:tc>
        <w:tc>
          <w:tcPr>
            <w:tcW w:w="2336" w:type="dxa"/>
          </w:tcPr>
          <w:p w14:paraId="53C7C8FB" w14:textId="76D67625" w:rsidR="007940B8" w:rsidRPr="0088347A" w:rsidRDefault="00541ADD" w:rsidP="00B55279">
            <w:pPr>
              <w:rPr>
                <w:rFonts w:cs="Times New Roman"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 xml:space="preserve">1. </w:t>
            </w:r>
            <w:r w:rsidR="007940B8" w:rsidRPr="0088347A">
              <w:rPr>
                <w:rFonts w:cs="Times New Roman"/>
                <w:sz w:val="24"/>
                <w:szCs w:val="24"/>
                <w:lang w:val="ro-MD"/>
              </w:rPr>
              <w:t>Impact mare asupra afacerii (HBI)</w:t>
            </w:r>
          </w:p>
          <w:p w14:paraId="3276398C" w14:textId="0505B438" w:rsidR="007940B8" w:rsidRPr="0088347A" w:rsidRDefault="00541ADD" w:rsidP="00B55279">
            <w:pPr>
              <w:rPr>
                <w:rFonts w:cs="Times New Roman"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 xml:space="preserve">2. </w:t>
            </w:r>
            <w:r w:rsidR="007940B8" w:rsidRPr="0088347A">
              <w:rPr>
                <w:rFonts w:cs="Times New Roman"/>
                <w:sz w:val="24"/>
                <w:szCs w:val="24"/>
                <w:lang w:val="ro-MD"/>
              </w:rPr>
              <w:t>Impact mediu asupra afacerii (MBI)</w:t>
            </w:r>
          </w:p>
          <w:p w14:paraId="4D480E3D" w14:textId="4DA765FB" w:rsidR="00134703" w:rsidRPr="0088347A" w:rsidRDefault="00541ADD" w:rsidP="00B55279">
            <w:pPr>
              <w:rPr>
                <w:rFonts w:cs="Times New Roman"/>
                <w:b/>
                <w:bCs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 xml:space="preserve">3. </w:t>
            </w:r>
            <w:r w:rsidR="007940B8" w:rsidRPr="0088347A">
              <w:rPr>
                <w:rFonts w:cs="Times New Roman"/>
                <w:sz w:val="24"/>
                <w:szCs w:val="24"/>
                <w:lang w:val="ro-MD"/>
              </w:rPr>
              <w:t>Impact mic asupra afacerii (LBI)</w:t>
            </w:r>
          </w:p>
        </w:tc>
        <w:tc>
          <w:tcPr>
            <w:tcW w:w="2336" w:type="dxa"/>
          </w:tcPr>
          <w:p w14:paraId="3B65ECCD" w14:textId="3B445529" w:rsidR="00FF2489" w:rsidRPr="0088347A" w:rsidRDefault="00FF2489" w:rsidP="00134703">
            <w:pPr>
              <w:rPr>
                <w:rFonts w:cs="Times New Roman"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>Amploarea impactului este</w:t>
            </w:r>
            <w:r w:rsidR="00723DDC" w:rsidRPr="0088347A">
              <w:rPr>
                <w:rFonts w:cs="Times New Roman"/>
                <w:sz w:val="24"/>
                <w:szCs w:val="24"/>
                <w:lang w:val="ro-MD"/>
              </w:rPr>
              <w:t>: *</w:t>
            </w:r>
          </w:p>
          <w:p w14:paraId="103B00A6" w14:textId="158F741B" w:rsidR="00FF2489" w:rsidRPr="0088347A" w:rsidRDefault="00FF2489" w:rsidP="00134703">
            <w:pPr>
              <w:rPr>
                <w:rFonts w:cs="Times New Roman"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 xml:space="preserve">1. scăzută (10), </w:t>
            </w:r>
          </w:p>
          <w:p w14:paraId="3AFAC531" w14:textId="7CC27DC6" w:rsidR="00FF2489" w:rsidRPr="0088347A" w:rsidRDefault="00FF2489" w:rsidP="00134703">
            <w:pPr>
              <w:rPr>
                <w:rFonts w:cs="Times New Roman"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 xml:space="preserve">2. medie (50) </w:t>
            </w:r>
          </w:p>
          <w:p w14:paraId="04D5AFF7" w14:textId="77777777" w:rsidR="00134703" w:rsidRPr="0088347A" w:rsidRDefault="00FF2489" w:rsidP="00134703">
            <w:pPr>
              <w:rPr>
                <w:rFonts w:cs="Times New Roman"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>3. ridicată (100).</w:t>
            </w:r>
          </w:p>
          <w:p w14:paraId="60571DBD" w14:textId="14CC4424" w:rsidR="00C92787" w:rsidRPr="0088347A" w:rsidRDefault="00C92787" w:rsidP="00723DDC">
            <w:pPr>
              <w:rPr>
                <w:rFonts w:cs="Times New Roman"/>
                <w:b/>
                <w:bCs/>
                <w:sz w:val="24"/>
                <w:szCs w:val="24"/>
                <w:lang w:val="ro-MD"/>
              </w:rPr>
            </w:pPr>
          </w:p>
        </w:tc>
      </w:tr>
      <w:tr w:rsidR="00134703" w:rsidRPr="0088347A" w14:paraId="391D9053" w14:textId="77777777" w:rsidTr="00134703">
        <w:tc>
          <w:tcPr>
            <w:tcW w:w="2336" w:type="dxa"/>
          </w:tcPr>
          <w:p w14:paraId="2FB906A9" w14:textId="6341B867" w:rsidR="00134703" w:rsidRPr="0088347A" w:rsidRDefault="00134703" w:rsidP="00B55279">
            <w:pPr>
              <w:rPr>
                <w:rFonts w:cs="Times New Roman"/>
                <w:b/>
                <w:bCs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b/>
                <w:bCs/>
                <w:sz w:val="24"/>
                <w:szCs w:val="24"/>
                <w:lang w:val="ro-MD"/>
              </w:rPr>
              <w:t>Probabilitate</w:t>
            </w:r>
          </w:p>
        </w:tc>
        <w:tc>
          <w:tcPr>
            <w:tcW w:w="2336" w:type="dxa"/>
          </w:tcPr>
          <w:p w14:paraId="684159F5" w14:textId="0D341228" w:rsidR="00134703" w:rsidRPr="0088347A" w:rsidRDefault="00C92787" w:rsidP="00B55279">
            <w:pPr>
              <w:rPr>
                <w:rFonts w:cs="Times New Roman"/>
                <w:b/>
                <w:bCs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>Se identifică utilizând tehnici de analiză cantitativă ori calitativă</w:t>
            </w:r>
          </w:p>
        </w:tc>
        <w:tc>
          <w:tcPr>
            <w:tcW w:w="2336" w:type="dxa"/>
          </w:tcPr>
          <w:p w14:paraId="1B448B43" w14:textId="3C49BFD3" w:rsidR="00C92787" w:rsidRPr="0088347A" w:rsidRDefault="007C7E2C" w:rsidP="00B55279">
            <w:pPr>
              <w:rPr>
                <w:rFonts w:cs="Times New Roman"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 xml:space="preserve">1. </w:t>
            </w:r>
            <w:r w:rsidR="00C92787" w:rsidRPr="0088347A">
              <w:rPr>
                <w:rFonts w:cs="Times New Roman"/>
                <w:sz w:val="24"/>
                <w:szCs w:val="24"/>
                <w:lang w:val="ro-MD"/>
              </w:rPr>
              <w:t xml:space="preserve">Mare. </w:t>
            </w:r>
            <w:proofErr w:type="spellStart"/>
            <w:r w:rsidR="00C92787" w:rsidRPr="0088347A">
              <w:rPr>
                <w:rFonts w:cs="Times New Roman"/>
                <w:sz w:val="24"/>
                <w:szCs w:val="24"/>
                <w:lang w:val="ro-MD"/>
              </w:rPr>
              <w:t>Probabilitea</w:t>
            </w:r>
            <w:proofErr w:type="spellEnd"/>
            <w:r w:rsidR="00C92787" w:rsidRPr="0088347A">
              <w:rPr>
                <w:rFonts w:cs="Times New Roman"/>
                <w:sz w:val="24"/>
                <w:szCs w:val="24"/>
                <w:lang w:val="ro-MD"/>
              </w:rPr>
              <w:t xml:space="preserve"> producerii unuia sau mai multor evenimente într-un an.</w:t>
            </w:r>
          </w:p>
          <w:p w14:paraId="2F9F5A6A" w14:textId="7450E00F" w:rsidR="00C92787" w:rsidRPr="0088347A" w:rsidRDefault="007C7E2C" w:rsidP="00B55279">
            <w:pPr>
              <w:rPr>
                <w:rFonts w:cs="Times New Roman"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 xml:space="preserve">2. </w:t>
            </w:r>
            <w:r w:rsidR="00C92787" w:rsidRPr="0088347A">
              <w:rPr>
                <w:rFonts w:cs="Times New Roman"/>
                <w:sz w:val="24"/>
                <w:szCs w:val="24"/>
                <w:lang w:val="ro-MD"/>
              </w:rPr>
              <w:t>Medie. Efectele pot avea loc în doi sau trei ani.</w:t>
            </w:r>
          </w:p>
          <w:p w14:paraId="0F5C5C84" w14:textId="5DB09A8E" w:rsidR="00C92787" w:rsidRPr="0088347A" w:rsidRDefault="007C7E2C" w:rsidP="00B55279">
            <w:pPr>
              <w:rPr>
                <w:rFonts w:cs="Times New Roman"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 xml:space="preserve">3. </w:t>
            </w:r>
            <w:r w:rsidR="00C92787" w:rsidRPr="0088347A">
              <w:rPr>
                <w:rFonts w:cs="Times New Roman"/>
                <w:sz w:val="24"/>
                <w:szCs w:val="24"/>
                <w:lang w:val="ro-MD"/>
              </w:rPr>
              <w:t>Joasă. Apariția în timp de trei ani este puțin probabilă.</w:t>
            </w:r>
          </w:p>
          <w:p w14:paraId="2E2500AB" w14:textId="77777777" w:rsidR="00134703" w:rsidRPr="0088347A" w:rsidRDefault="00134703" w:rsidP="00B55279">
            <w:pPr>
              <w:rPr>
                <w:rFonts w:cs="Times New Roman"/>
                <w:b/>
                <w:bCs/>
                <w:sz w:val="24"/>
                <w:szCs w:val="24"/>
                <w:lang w:val="ro-MD"/>
              </w:rPr>
            </w:pPr>
          </w:p>
        </w:tc>
        <w:tc>
          <w:tcPr>
            <w:tcW w:w="2336" w:type="dxa"/>
          </w:tcPr>
          <w:p w14:paraId="0ACFDDAE" w14:textId="6147F14C" w:rsidR="00C92787" w:rsidRPr="0088347A" w:rsidRDefault="007C7E2C" w:rsidP="00134703">
            <w:pPr>
              <w:rPr>
                <w:rFonts w:cs="Times New Roman"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>I</w:t>
            </w:r>
            <w:r w:rsidR="00C92787" w:rsidRPr="0088347A">
              <w:rPr>
                <w:rFonts w:cs="Times New Roman"/>
                <w:sz w:val="24"/>
                <w:szCs w:val="24"/>
                <w:lang w:val="ro-MD"/>
              </w:rPr>
              <w:t xml:space="preserve">ndică probabilitatea ca o vulnerabilitate să poată fi exploatată de o sursă de amenințare, având în vedere controalele de securitate existente sau planificate. </w:t>
            </w:r>
          </w:p>
          <w:p w14:paraId="110438D8" w14:textId="45070372" w:rsidR="00C92787" w:rsidRPr="0088347A" w:rsidRDefault="007C7E2C" w:rsidP="007C7E2C">
            <w:pPr>
              <w:rPr>
                <w:rFonts w:cs="Times New Roman"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 xml:space="preserve">1. </w:t>
            </w:r>
            <w:r w:rsidR="00C92787" w:rsidRPr="0088347A">
              <w:rPr>
                <w:rFonts w:cs="Times New Roman"/>
                <w:sz w:val="24"/>
                <w:szCs w:val="24"/>
                <w:lang w:val="ro-MD"/>
              </w:rPr>
              <w:t>Evaluare de probabilitate scăzută (0,1)</w:t>
            </w:r>
          </w:p>
          <w:p w14:paraId="17DF09E6" w14:textId="2757B739" w:rsidR="00C92787" w:rsidRPr="0088347A" w:rsidRDefault="007C7E2C" w:rsidP="007C7E2C">
            <w:pPr>
              <w:rPr>
                <w:rFonts w:cs="Times New Roman"/>
                <w:b/>
                <w:bCs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 xml:space="preserve">2. </w:t>
            </w:r>
            <w:r w:rsidR="00457C04" w:rsidRPr="0088347A">
              <w:rPr>
                <w:rFonts w:cs="Times New Roman"/>
                <w:sz w:val="24"/>
                <w:szCs w:val="24"/>
                <w:lang w:val="ro-MD"/>
              </w:rPr>
              <w:t>M</w:t>
            </w:r>
            <w:r w:rsidR="00C92787" w:rsidRPr="0088347A">
              <w:rPr>
                <w:rFonts w:cs="Times New Roman"/>
                <w:sz w:val="24"/>
                <w:szCs w:val="24"/>
                <w:lang w:val="ro-MD"/>
              </w:rPr>
              <w:t xml:space="preserve">edie (0,5) </w:t>
            </w:r>
          </w:p>
          <w:p w14:paraId="5C9772D7" w14:textId="4C7C9DC2" w:rsidR="00134703" w:rsidRPr="0088347A" w:rsidRDefault="007C7E2C" w:rsidP="007C7E2C">
            <w:pPr>
              <w:rPr>
                <w:rFonts w:cs="Times New Roman"/>
                <w:b/>
                <w:bCs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 xml:space="preserve">3. </w:t>
            </w:r>
            <w:r w:rsidR="00457C04" w:rsidRPr="0088347A">
              <w:rPr>
                <w:rFonts w:cs="Times New Roman"/>
                <w:sz w:val="24"/>
                <w:szCs w:val="24"/>
                <w:lang w:val="ro-MD"/>
              </w:rPr>
              <w:t>R</w:t>
            </w:r>
            <w:r w:rsidR="00C92787" w:rsidRPr="0088347A">
              <w:rPr>
                <w:rFonts w:cs="Times New Roman"/>
                <w:sz w:val="24"/>
                <w:szCs w:val="24"/>
                <w:lang w:val="ro-MD"/>
              </w:rPr>
              <w:t>idicată (1)</w:t>
            </w:r>
          </w:p>
        </w:tc>
      </w:tr>
      <w:tr w:rsidR="00134703" w:rsidRPr="0088347A" w14:paraId="01D082AD" w14:textId="77777777" w:rsidTr="00134703">
        <w:tc>
          <w:tcPr>
            <w:tcW w:w="2336" w:type="dxa"/>
          </w:tcPr>
          <w:p w14:paraId="3E36A169" w14:textId="42EB56A4" w:rsidR="00134703" w:rsidRPr="0088347A" w:rsidRDefault="00134703" w:rsidP="00B55279">
            <w:pPr>
              <w:rPr>
                <w:rFonts w:cs="Times New Roman"/>
                <w:b/>
                <w:bCs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b/>
                <w:bCs/>
                <w:sz w:val="24"/>
                <w:szCs w:val="24"/>
                <w:lang w:val="ro-MD"/>
              </w:rPr>
              <w:t>Nivele de risc</w:t>
            </w:r>
          </w:p>
        </w:tc>
        <w:tc>
          <w:tcPr>
            <w:tcW w:w="2336" w:type="dxa"/>
          </w:tcPr>
          <w:p w14:paraId="3662513F" w14:textId="77777777" w:rsidR="00C92787" w:rsidRPr="0088347A" w:rsidRDefault="00C92787" w:rsidP="00B55279">
            <w:pPr>
              <w:rPr>
                <w:rFonts w:cs="Times New Roman"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>Evaluarea riscului are loc:</w:t>
            </w:r>
          </w:p>
          <w:p w14:paraId="74D3C00A" w14:textId="473CBAE7" w:rsidR="00C92787" w:rsidRPr="0088347A" w:rsidRDefault="00B55279" w:rsidP="00B55279">
            <w:pPr>
              <w:rPr>
                <w:rFonts w:cs="Times New Roman"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 xml:space="preserve">- </w:t>
            </w:r>
            <w:r w:rsidR="00C92787" w:rsidRPr="0088347A">
              <w:rPr>
                <w:rFonts w:cs="Times New Roman"/>
                <w:sz w:val="24"/>
                <w:szCs w:val="24"/>
                <w:lang w:val="ro-MD"/>
              </w:rPr>
              <w:t>Identificarea riscului</w:t>
            </w:r>
          </w:p>
          <w:p w14:paraId="7A7B3DE2" w14:textId="7BF69B51" w:rsidR="00C92787" w:rsidRPr="0088347A" w:rsidRDefault="00B55279" w:rsidP="00B55279">
            <w:pPr>
              <w:rPr>
                <w:rFonts w:cs="Times New Roman"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 xml:space="preserve">- </w:t>
            </w:r>
            <w:r w:rsidR="00C92787" w:rsidRPr="0088347A">
              <w:rPr>
                <w:rFonts w:cs="Times New Roman"/>
                <w:sz w:val="24"/>
                <w:szCs w:val="24"/>
                <w:lang w:val="ro-MD"/>
              </w:rPr>
              <w:t>Analiza riscului</w:t>
            </w:r>
          </w:p>
          <w:p w14:paraId="650209D9" w14:textId="377368A7" w:rsidR="00C92787" w:rsidRPr="0088347A" w:rsidRDefault="00B55279" w:rsidP="00B55279">
            <w:pPr>
              <w:rPr>
                <w:rFonts w:cs="Times New Roman"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 xml:space="preserve">- </w:t>
            </w:r>
            <w:r w:rsidR="00C92787" w:rsidRPr="0088347A">
              <w:rPr>
                <w:rFonts w:cs="Times New Roman"/>
                <w:sz w:val="24"/>
                <w:szCs w:val="24"/>
                <w:lang w:val="ro-MD"/>
              </w:rPr>
              <w:t>Evaluarea riscului</w:t>
            </w:r>
          </w:p>
          <w:p w14:paraId="1A40C8B0" w14:textId="77777777" w:rsidR="00C92787" w:rsidRPr="0088347A" w:rsidRDefault="00C92787" w:rsidP="00B55279">
            <w:pPr>
              <w:rPr>
                <w:rFonts w:cs="Times New Roman"/>
                <w:sz w:val="24"/>
                <w:szCs w:val="24"/>
                <w:lang w:val="ro-MD"/>
              </w:rPr>
            </w:pPr>
          </w:p>
          <w:p w14:paraId="50DB0A24" w14:textId="628745E3" w:rsidR="00134703" w:rsidRPr="0088347A" w:rsidRDefault="00134703" w:rsidP="00B55279">
            <w:pPr>
              <w:rPr>
                <w:rFonts w:cs="Times New Roman"/>
                <w:b/>
                <w:bCs/>
                <w:sz w:val="24"/>
                <w:szCs w:val="24"/>
                <w:lang w:val="ro-MD"/>
              </w:rPr>
            </w:pPr>
          </w:p>
        </w:tc>
        <w:tc>
          <w:tcPr>
            <w:tcW w:w="2336" w:type="dxa"/>
          </w:tcPr>
          <w:p w14:paraId="6008E63F" w14:textId="77777777" w:rsidR="00C92787" w:rsidRPr="0088347A" w:rsidRDefault="00C92787" w:rsidP="00B55279">
            <w:pPr>
              <w:rPr>
                <w:rFonts w:cs="Times New Roman"/>
                <w:sz w:val="24"/>
                <w:szCs w:val="24"/>
                <w:u w:val="single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u w:val="single"/>
                <w:lang w:val="ro-MD"/>
              </w:rPr>
              <w:t>Evaluarea riscului:</w:t>
            </w:r>
          </w:p>
          <w:p w14:paraId="5075E96F" w14:textId="3D3DB5A8" w:rsidR="00C92787" w:rsidRPr="0088347A" w:rsidRDefault="00B55279" w:rsidP="00B55279">
            <w:pPr>
              <w:rPr>
                <w:rFonts w:cs="Times New Roman"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 xml:space="preserve">- </w:t>
            </w:r>
            <w:r w:rsidR="00C92787" w:rsidRPr="0088347A">
              <w:rPr>
                <w:rFonts w:cs="Times New Roman"/>
                <w:sz w:val="24"/>
                <w:szCs w:val="24"/>
                <w:lang w:val="ro-MD"/>
              </w:rPr>
              <w:t>Planificare</w:t>
            </w:r>
          </w:p>
          <w:p w14:paraId="56892C67" w14:textId="036EBD02" w:rsidR="00C92787" w:rsidRPr="0088347A" w:rsidRDefault="00B55279" w:rsidP="00B55279">
            <w:pPr>
              <w:rPr>
                <w:rFonts w:cs="Times New Roman"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 xml:space="preserve">- </w:t>
            </w:r>
            <w:r w:rsidR="00C92787" w:rsidRPr="0088347A">
              <w:rPr>
                <w:rFonts w:cs="Times New Roman"/>
                <w:sz w:val="24"/>
                <w:szCs w:val="24"/>
                <w:lang w:val="ro-MD"/>
              </w:rPr>
              <w:t>Colectarea coordonată a datelor</w:t>
            </w:r>
          </w:p>
          <w:p w14:paraId="67794687" w14:textId="4A55BA6F" w:rsidR="00C92787" w:rsidRPr="0088347A" w:rsidRDefault="00B55279" w:rsidP="00B55279">
            <w:pPr>
              <w:rPr>
                <w:rFonts w:cs="Times New Roman"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 xml:space="preserve">- </w:t>
            </w:r>
            <w:proofErr w:type="spellStart"/>
            <w:r w:rsidR="00C92787" w:rsidRPr="0088347A">
              <w:rPr>
                <w:rFonts w:cs="Times New Roman"/>
                <w:sz w:val="24"/>
                <w:szCs w:val="24"/>
                <w:lang w:val="ro-MD"/>
              </w:rPr>
              <w:t>Prioritizarea</w:t>
            </w:r>
            <w:proofErr w:type="spellEnd"/>
            <w:r w:rsidR="00C92787" w:rsidRPr="0088347A">
              <w:rPr>
                <w:rFonts w:cs="Times New Roman"/>
                <w:sz w:val="24"/>
                <w:szCs w:val="24"/>
                <w:lang w:val="ro-MD"/>
              </w:rPr>
              <w:t xml:space="preserve"> riscurilor</w:t>
            </w:r>
          </w:p>
          <w:p w14:paraId="3293A473" w14:textId="77777777" w:rsidR="00C92787" w:rsidRPr="0088347A" w:rsidRDefault="00C92787" w:rsidP="00B55279">
            <w:pPr>
              <w:rPr>
                <w:rFonts w:cs="Times New Roman"/>
                <w:sz w:val="24"/>
                <w:szCs w:val="24"/>
                <w:lang w:val="ro-MD"/>
              </w:rPr>
            </w:pPr>
          </w:p>
          <w:p w14:paraId="7E20EE7A" w14:textId="77777777" w:rsidR="00134703" w:rsidRPr="0088347A" w:rsidRDefault="00134703" w:rsidP="0070495C">
            <w:pPr>
              <w:rPr>
                <w:rFonts w:cs="Times New Roman"/>
                <w:b/>
                <w:bCs/>
                <w:sz w:val="24"/>
                <w:szCs w:val="24"/>
                <w:lang w:val="ro-MD"/>
              </w:rPr>
            </w:pPr>
          </w:p>
        </w:tc>
        <w:tc>
          <w:tcPr>
            <w:tcW w:w="2336" w:type="dxa"/>
          </w:tcPr>
          <w:p w14:paraId="5069B1A2" w14:textId="2C399CA9" w:rsidR="00B55279" w:rsidRPr="0088347A" w:rsidRDefault="00C92787" w:rsidP="0070495C">
            <w:pPr>
              <w:rPr>
                <w:rFonts w:cs="Times New Roman"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sz w:val="24"/>
                <w:szCs w:val="24"/>
                <w:lang w:val="ro-MD"/>
              </w:rPr>
              <w:t xml:space="preserve">Evaluarea riscului acțiunile pe care managementul superior (proprietarii misiunii) trebuie să le întreprindă pentru fiecare nivel de risc. </w:t>
            </w:r>
            <w:r w:rsidR="00B55279" w:rsidRPr="0088347A">
              <w:rPr>
                <w:rFonts w:cs="Times New Roman"/>
                <w:sz w:val="24"/>
                <w:szCs w:val="24"/>
                <w:lang w:val="ro-MD"/>
              </w:rPr>
              <w:t>Output</w:t>
            </w:r>
            <w:r w:rsidRPr="0088347A">
              <w:rPr>
                <w:rFonts w:cs="Times New Roman"/>
                <w:sz w:val="24"/>
                <w:szCs w:val="24"/>
                <w:lang w:val="ro-MD"/>
              </w:rPr>
              <w:t xml:space="preserve"> – Nivel de risc scăzut (1-10), mediu (&gt;10-50) sau ridicat (&gt;</w:t>
            </w:r>
            <w:r w:rsidR="00812A0C" w:rsidRPr="0088347A">
              <w:rPr>
                <w:rFonts w:cs="Times New Roman"/>
                <w:sz w:val="24"/>
                <w:szCs w:val="24"/>
                <w:lang w:val="ro-MD"/>
              </w:rPr>
              <w:t>50)</w:t>
            </w:r>
          </w:p>
        </w:tc>
      </w:tr>
      <w:tr w:rsidR="0070495C" w:rsidRPr="0088347A" w14:paraId="2CF2C718" w14:textId="77777777" w:rsidTr="00134703">
        <w:tc>
          <w:tcPr>
            <w:tcW w:w="2336" w:type="dxa"/>
          </w:tcPr>
          <w:p w14:paraId="7D87EF71" w14:textId="7DDF10A0" w:rsidR="0070495C" w:rsidRPr="0088347A" w:rsidRDefault="0070495C" w:rsidP="00B55279">
            <w:pPr>
              <w:rPr>
                <w:rFonts w:cs="Times New Roman"/>
                <w:b/>
                <w:bCs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b/>
                <w:bCs/>
                <w:sz w:val="24"/>
                <w:szCs w:val="24"/>
                <w:lang w:val="ro-MD"/>
              </w:rPr>
              <w:t>Calcularea riscului</w:t>
            </w:r>
          </w:p>
        </w:tc>
        <w:tc>
          <w:tcPr>
            <w:tcW w:w="2336" w:type="dxa"/>
          </w:tcPr>
          <w:p w14:paraId="62F9BDFB" w14:textId="2A3E3B33" w:rsidR="0070495C" w:rsidRPr="0088347A" w:rsidRDefault="0070495C" w:rsidP="0070495C">
            <w:pPr>
              <w:rPr>
                <w:rFonts w:cs="Times New Roman"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i/>
                <w:iCs/>
                <w:sz w:val="24"/>
                <w:szCs w:val="24"/>
                <w:lang w:val="ro-MD"/>
              </w:rPr>
              <w:t>Risc = probabilitatea de exploatare a unei vulnerabilități de amenințare x Impactul total al vulnerabilității exploatate</w:t>
            </w:r>
          </w:p>
        </w:tc>
        <w:tc>
          <w:tcPr>
            <w:tcW w:w="2336" w:type="dxa"/>
          </w:tcPr>
          <w:p w14:paraId="51CC2346" w14:textId="77777777" w:rsidR="0070495C" w:rsidRPr="0088347A" w:rsidRDefault="0070495C" w:rsidP="0070495C">
            <w:pPr>
              <w:rPr>
                <w:rFonts w:cs="Times New Roman"/>
                <w:i/>
                <w:iCs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i/>
                <w:iCs/>
                <w:sz w:val="24"/>
                <w:szCs w:val="24"/>
                <w:lang w:val="ro-MD"/>
              </w:rPr>
              <w:t xml:space="preserve">Risc = </w:t>
            </w:r>
            <w:proofErr w:type="spellStart"/>
            <w:r w:rsidRPr="0088347A">
              <w:rPr>
                <w:rFonts w:cs="Times New Roman"/>
                <w:i/>
                <w:iCs/>
                <w:sz w:val="24"/>
                <w:szCs w:val="24"/>
                <w:lang w:val="ro-MD"/>
              </w:rPr>
              <w:t>Ameninţare</w:t>
            </w:r>
            <w:proofErr w:type="spellEnd"/>
            <w:r w:rsidRPr="0088347A">
              <w:rPr>
                <w:rFonts w:cs="Times New Roman"/>
                <w:i/>
                <w:iCs/>
                <w:sz w:val="24"/>
                <w:szCs w:val="24"/>
                <w:lang w:val="ro-MD"/>
              </w:rPr>
              <w:t xml:space="preserve"> x Vulnerabilitate x Valoarea activului</w:t>
            </w:r>
          </w:p>
          <w:p w14:paraId="21FA30CF" w14:textId="77777777" w:rsidR="0070495C" w:rsidRPr="0088347A" w:rsidRDefault="0070495C" w:rsidP="00B55279">
            <w:pPr>
              <w:rPr>
                <w:rFonts w:cs="Times New Roman"/>
                <w:sz w:val="24"/>
                <w:szCs w:val="24"/>
                <w:u w:val="single"/>
                <w:lang w:val="ro-MD"/>
              </w:rPr>
            </w:pPr>
          </w:p>
        </w:tc>
        <w:tc>
          <w:tcPr>
            <w:tcW w:w="2336" w:type="dxa"/>
          </w:tcPr>
          <w:p w14:paraId="1891CB86" w14:textId="77777777" w:rsidR="0070495C" w:rsidRPr="0088347A" w:rsidRDefault="0070495C" w:rsidP="0070495C">
            <w:pPr>
              <w:jc w:val="both"/>
              <w:rPr>
                <w:rFonts w:cs="Times New Roman"/>
                <w:i/>
                <w:iCs/>
                <w:sz w:val="24"/>
                <w:szCs w:val="24"/>
                <w:lang w:val="ro-MD"/>
              </w:rPr>
            </w:pPr>
            <w:r w:rsidRPr="0088347A">
              <w:rPr>
                <w:rFonts w:cs="Times New Roman"/>
                <w:i/>
                <w:iCs/>
                <w:sz w:val="24"/>
                <w:szCs w:val="24"/>
                <w:lang w:val="ro-MD"/>
              </w:rPr>
              <w:t>Risc = determinarea probabilității x analiza impactului</w:t>
            </w:r>
          </w:p>
          <w:p w14:paraId="162F3AE3" w14:textId="77777777" w:rsidR="0070495C" w:rsidRPr="0088347A" w:rsidRDefault="0070495C" w:rsidP="00C92787">
            <w:pPr>
              <w:rPr>
                <w:rFonts w:cs="Times New Roman"/>
                <w:sz w:val="24"/>
                <w:szCs w:val="24"/>
                <w:lang w:val="ro-MD"/>
              </w:rPr>
            </w:pPr>
          </w:p>
        </w:tc>
      </w:tr>
    </w:tbl>
    <w:p w14:paraId="4BA03A44" w14:textId="64428CD2" w:rsidR="00134703" w:rsidRPr="0088347A" w:rsidRDefault="00134703" w:rsidP="00134703">
      <w:pPr>
        <w:rPr>
          <w:rFonts w:cs="Times New Roman"/>
          <w:b/>
          <w:bCs/>
          <w:sz w:val="24"/>
          <w:szCs w:val="24"/>
          <w:lang w:val="ro-MD"/>
        </w:rPr>
      </w:pPr>
    </w:p>
    <w:p w14:paraId="68214188" w14:textId="399FE8BD" w:rsidR="00723DDC" w:rsidRPr="0088347A" w:rsidRDefault="00723DDC" w:rsidP="00723DDC">
      <w:pPr>
        <w:rPr>
          <w:rFonts w:cs="Times New Roman"/>
          <w:sz w:val="24"/>
          <w:szCs w:val="24"/>
          <w:lang w:val="ro-MD"/>
        </w:rPr>
      </w:pPr>
      <w:r w:rsidRPr="0088347A">
        <w:rPr>
          <w:rFonts w:cs="Times New Roman"/>
          <w:sz w:val="24"/>
          <w:szCs w:val="24"/>
          <w:lang w:val="ro-MD"/>
        </w:rPr>
        <w:t xml:space="preserve">* Factorii datelor și sistemelor de luat în considerare ar trebui să includă importanța pentru misiunea organizației; sensibilitate și </w:t>
      </w:r>
      <w:proofErr w:type="spellStart"/>
      <w:r w:rsidRPr="0088347A">
        <w:rPr>
          <w:rFonts w:cs="Times New Roman"/>
          <w:sz w:val="24"/>
          <w:szCs w:val="24"/>
          <w:lang w:val="ro-MD"/>
        </w:rPr>
        <w:t>criticitate</w:t>
      </w:r>
      <w:proofErr w:type="spellEnd"/>
      <w:r w:rsidRPr="0088347A">
        <w:rPr>
          <w:rFonts w:cs="Times New Roman"/>
          <w:sz w:val="24"/>
          <w:szCs w:val="24"/>
          <w:lang w:val="ro-MD"/>
        </w:rPr>
        <w:t xml:space="preserve"> (valoare sau importanță); costurile asociate; pierderea confidențialității, integrității și disponibilității sistemelor și datelor.  </w:t>
      </w:r>
    </w:p>
    <w:sectPr w:rsidR="00723DDC" w:rsidRPr="0088347A" w:rsidSect="00CE46C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C63"/>
    <w:multiLevelType w:val="hybridMultilevel"/>
    <w:tmpl w:val="CF826B40"/>
    <w:lvl w:ilvl="0" w:tplc="0604366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86928"/>
    <w:multiLevelType w:val="hybridMultilevel"/>
    <w:tmpl w:val="C2442ECA"/>
    <w:lvl w:ilvl="0" w:tplc="482891B2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CD342A"/>
    <w:multiLevelType w:val="hybridMultilevel"/>
    <w:tmpl w:val="03A89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84BBC"/>
    <w:multiLevelType w:val="hybridMultilevel"/>
    <w:tmpl w:val="A7DAEA3E"/>
    <w:lvl w:ilvl="0" w:tplc="0644B60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4545C"/>
    <w:multiLevelType w:val="hybridMultilevel"/>
    <w:tmpl w:val="F028CCAE"/>
    <w:lvl w:ilvl="0" w:tplc="B3E6068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66B19"/>
    <w:multiLevelType w:val="hybridMultilevel"/>
    <w:tmpl w:val="0CB25D86"/>
    <w:lvl w:ilvl="0" w:tplc="2FC6098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E713E"/>
    <w:multiLevelType w:val="hybridMultilevel"/>
    <w:tmpl w:val="68F86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E1468"/>
    <w:multiLevelType w:val="hybridMultilevel"/>
    <w:tmpl w:val="C2220F2A"/>
    <w:lvl w:ilvl="0" w:tplc="306C249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E7F7D"/>
    <w:multiLevelType w:val="hybridMultilevel"/>
    <w:tmpl w:val="32C61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E1C6F"/>
    <w:multiLevelType w:val="hybridMultilevel"/>
    <w:tmpl w:val="F8C42C3C"/>
    <w:lvl w:ilvl="0" w:tplc="2306219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F2054"/>
    <w:multiLevelType w:val="hybridMultilevel"/>
    <w:tmpl w:val="DDF8F7D8"/>
    <w:lvl w:ilvl="0" w:tplc="7B24AFC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F30CA"/>
    <w:multiLevelType w:val="hybridMultilevel"/>
    <w:tmpl w:val="846A6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B6E48"/>
    <w:multiLevelType w:val="hybridMultilevel"/>
    <w:tmpl w:val="FA6CA3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44484"/>
    <w:multiLevelType w:val="hybridMultilevel"/>
    <w:tmpl w:val="EAC2B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946CAB"/>
    <w:multiLevelType w:val="hybridMultilevel"/>
    <w:tmpl w:val="430E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6F6B43"/>
    <w:multiLevelType w:val="hybridMultilevel"/>
    <w:tmpl w:val="53F8C49E"/>
    <w:lvl w:ilvl="0" w:tplc="5D04CA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DC6EC9"/>
    <w:multiLevelType w:val="hybridMultilevel"/>
    <w:tmpl w:val="3F44912A"/>
    <w:lvl w:ilvl="0" w:tplc="6052AC6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C22D74"/>
    <w:multiLevelType w:val="hybridMultilevel"/>
    <w:tmpl w:val="B3FC3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C7F59"/>
    <w:multiLevelType w:val="hybridMultilevel"/>
    <w:tmpl w:val="45203126"/>
    <w:lvl w:ilvl="0" w:tplc="18F4D0F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417032">
    <w:abstractNumId w:val="1"/>
  </w:num>
  <w:num w:numId="2" w16cid:durableId="121967802">
    <w:abstractNumId w:val="11"/>
  </w:num>
  <w:num w:numId="3" w16cid:durableId="214128330">
    <w:abstractNumId w:val="15"/>
  </w:num>
  <w:num w:numId="4" w16cid:durableId="659386187">
    <w:abstractNumId w:val="2"/>
  </w:num>
  <w:num w:numId="5" w16cid:durableId="1014185406">
    <w:abstractNumId w:val="13"/>
  </w:num>
  <w:num w:numId="6" w16cid:durableId="1453356170">
    <w:abstractNumId w:val="17"/>
  </w:num>
  <w:num w:numId="7" w16cid:durableId="655648693">
    <w:abstractNumId w:val="16"/>
  </w:num>
  <w:num w:numId="8" w16cid:durableId="2119522400">
    <w:abstractNumId w:val="12"/>
  </w:num>
  <w:num w:numId="9" w16cid:durableId="721178526">
    <w:abstractNumId w:val="8"/>
  </w:num>
  <w:num w:numId="10" w16cid:durableId="1256404657">
    <w:abstractNumId w:val="4"/>
  </w:num>
  <w:num w:numId="11" w16cid:durableId="1488013528">
    <w:abstractNumId w:val="10"/>
  </w:num>
  <w:num w:numId="12" w16cid:durableId="182016913">
    <w:abstractNumId w:val="5"/>
  </w:num>
  <w:num w:numId="13" w16cid:durableId="821238528">
    <w:abstractNumId w:val="0"/>
  </w:num>
  <w:num w:numId="14" w16cid:durableId="768084118">
    <w:abstractNumId w:val="3"/>
  </w:num>
  <w:num w:numId="15" w16cid:durableId="1383792816">
    <w:abstractNumId w:val="18"/>
  </w:num>
  <w:num w:numId="16" w16cid:durableId="1597011576">
    <w:abstractNumId w:val="6"/>
  </w:num>
  <w:num w:numId="17" w16cid:durableId="910627231">
    <w:abstractNumId w:val="14"/>
  </w:num>
  <w:num w:numId="18" w16cid:durableId="2105416909">
    <w:abstractNumId w:val="9"/>
  </w:num>
  <w:num w:numId="19" w16cid:durableId="16430717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3F"/>
    <w:rsid w:val="0006782B"/>
    <w:rsid w:val="000A2CE2"/>
    <w:rsid w:val="000D7DB7"/>
    <w:rsid w:val="00102AB1"/>
    <w:rsid w:val="00134703"/>
    <w:rsid w:val="0017516D"/>
    <w:rsid w:val="00181D28"/>
    <w:rsid w:val="00207F55"/>
    <w:rsid w:val="00257BF3"/>
    <w:rsid w:val="00275210"/>
    <w:rsid w:val="002D683F"/>
    <w:rsid w:val="002D7671"/>
    <w:rsid w:val="002E6659"/>
    <w:rsid w:val="003269AB"/>
    <w:rsid w:val="0037637B"/>
    <w:rsid w:val="003F18D5"/>
    <w:rsid w:val="00411A0B"/>
    <w:rsid w:val="00416599"/>
    <w:rsid w:val="004257DD"/>
    <w:rsid w:val="00457C04"/>
    <w:rsid w:val="004679FA"/>
    <w:rsid w:val="004862CE"/>
    <w:rsid w:val="004E01A1"/>
    <w:rsid w:val="00541ADD"/>
    <w:rsid w:val="00587307"/>
    <w:rsid w:val="005A570E"/>
    <w:rsid w:val="00632FFE"/>
    <w:rsid w:val="006C0B77"/>
    <w:rsid w:val="0070495C"/>
    <w:rsid w:val="00723DDC"/>
    <w:rsid w:val="007263EF"/>
    <w:rsid w:val="007940B8"/>
    <w:rsid w:val="007C7E2C"/>
    <w:rsid w:val="00812A0C"/>
    <w:rsid w:val="00815D14"/>
    <w:rsid w:val="008242FF"/>
    <w:rsid w:val="00870751"/>
    <w:rsid w:val="0088347A"/>
    <w:rsid w:val="00885707"/>
    <w:rsid w:val="008A07F8"/>
    <w:rsid w:val="008B316B"/>
    <w:rsid w:val="008C65FF"/>
    <w:rsid w:val="008E1697"/>
    <w:rsid w:val="00922C48"/>
    <w:rsid w:val="00A02F70"/>
    <w:rsid w:val="00A10A91"/>
    <w:rsid w:val="00A55553"/>
    <w:rsid w:val="00A6043E"/>
    <w:rsid w:val="00AD6DA5"/>
    <w:rsid w:val="00B55279"/>
    <w:rsid w:val="00B67A51"/>
    <w:rsid w:val="00B915B7"/>
    <w:rsid w:val="00BA33E3"/>
    <w:rsid w:val="00BC1E04"/>
    <w:rsid w:val="00BC591E"/>
    <w:rsid w:val="00BE59CB"/>
    <w:rsid w:val="00BF3BCF"/>
    <w:rsid w:val="00C65C79"/>
    <w:rsid w:val="00C92787"/>
    <w:rsid w:val="00CE46CE"/>
    <w:rsid w:val="00DB54A7"/>
    <w:rsid w:val="00DC1007"/>
    <w:rsid w:val="00E14D48"/>
    <w:rsid w:val="00EA4235"/>
    <w:rsid w:val="00EA59DF"/>
    <w:rsid w:val="00EE4070"/>
    <w:rsid w:val="00F12C76"/>
    <w:rsid w:val="00F741E2"/>
    <w:rsid w:val="00F84627"/>
    <w:rsid w:val="00FF2489"/>
    <w:rsid w:val="00FF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F19A"/>
  <w15:chartTrackingRefBased/>
  <w15:docId w15:val="{649D5598-44B6-43C1-881E-9CCB65AB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6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5707"/>
    <w:pPr>
      <w:ind w:left="720"/>
      <w:contextualSpacing/>
    </w:pPr>
  </w:style>
  <w:style w:type="paragraph" w:customStyle="1" w:styleId="Default">
    <w:name w:val="Default"/>
    <w:qFormat/>
    <w:rsid w:val="00DB54A7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Cebotari</dc:creator>
  <cp:keywords/>
  <dc:description/>
  <cp:lastModifiedBy>Dan Cebotari</cp:lastModifiedBy>
  <cp:revision>54</cp:revision>
  <dcterms:created xsi:type="dcterms:W3CDTF">2022-10-08T09:58:00Z</dcterms:created>
  <dcterms:modified xsi:type="dcterms:W3CDTF">2022-10-09T11:01:00Z</dcterms:modified>
</cp:coreProperties>
</file>