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2B6CB0"/>
          <w:sz w:val="19"/>
        </w:rPr>
        <w:t>Yuvaintern Virtual ML Internship | Week 1 Project Deliverable</w:t>
        <w:br/>
      </w:r>
      <w:r>
        <w:rPr>
          <w:b/>
          <w:color w:val="1A365D"/>
          <w:sz w:val="44"/>
        </w:rPr>
        <w:t>Project Planning &amp; Strategy Development</w:t>
      </w:r>
    </w:p>
    <w:p>
      <w:pPr>
        <w:spacing w:after="280"/>
      </w:pPr>
      <w:r>
        <w:rPr>
          <w:i/>
          <w:color w:val="4A5568"/>
          <w:sz w:val="26"/>
        </w:rPr>
        <w:t>Comprehensive Machine Learning Charter: IntelliFeedback – Customer Review Sentiment &amp; Feedback Intelligence Engine</w:t>
      </w:r>
    </w:p>
    <w:tbl>
      <w:tblPr>
        <w:tblW w:type="auto" w:w="0"/>
        <w:jc w:val="center"/>
        <w:tblLayout w:type="fixed"/>
        <w:tblLook w:firstColumn="1" w:firstRow="1" w:lastColumn="0" w:lastRow="0" w:noHBand="0" w:noVBand="1" w:val="04A0"/>
        <w:tblBorders>
          <w:top w:val="single" w:sz="4" w:space="0" w:color="CBD5E0"/>
          <w:left w:val="none"/>
          <w:bottom w:val="single" w:sz="8" w:space="0" w:color="1A365D"/>
          <w:right w:val="none"/>
          <w:insideH w:val="single" w:sz="4" w:space="0" w:color="E2E8F0"/>
          <w:insideV w:val="none"/>
        </w:tblBorders>
      </w:tblPr>
      <w:tblGrid>
        <w:gridCol w:w="2340"/>
        <w:gridCol w:w="2340"/>
        <w:gridCol w:w="2340"/>
        <w:gridCol w:w="2340"/>
      </w:tblGrid>
      <w:tr>
        <w:tc>
          <w:tcPr>
            <w:tcW w:type="dxa" w:w="2592"/>
            <w:shd w:fill="2B6CB0"/>
            <w:tcMar>
              <w:top w:w="120" w:type="dxa"/>
              <w:bottom w:w="120" w:type="dxa"/>
              <w:left w:w="140" w:type="dxa"/>
              <w:right w:w="140" w:type="dxa"/>
            </w:tcMar>
          </w:tcPr>
          <w:p>
            <w:pPr>
              <w:jc w:val="left"/>
            </w:pPr>
            <w:r>
              <w:rPr>
                <w:rFonts w:ascii="Calibri" w:hAnsi="Calibri"/>
                <w:b/>
                <w:color w:val="FFFFFF"/>
                <w:sz w:val="20"/>
              </w:rPr>
              <w:t>Internship Program</w:t>
            </w:r>
          </w:p>
        </w:tc>
        <w:tc>
          <w:tcPr>
            <w:tcW w:type="dxa" w:w="2160"/>
            <w:shd w:fill="2B6CB0"/>
            <w:tcMar>
              <w:top w:w="120" w:type="dxa"/>
              <w:bottom w:w="120" w:type="dxa"/>
              <w:left w:w="140" w:type="dxa"/>
              <w:right w:w="140" w:type="dxa"/>
            </w:tcMar>
          </w:tcPr>
          <w:p>
            <w:pPr>
              <w:jc w:val="left"/>
            </w:pPr>
            <w:r>
              <w:rPr>
                <w:rFonts w:ascii="Calibri" w:hAnsi="Calibri"/>
                <w:b/>
                <w:color w:val="FFFFFF"/>
                <w:sz w:val="20"/>
              </w:rPr>
              <w:t>Track</w:t>
            </w:r>
          </w:p>
        </w:tc>
        <w:tc>
          <w:tcPr>
            <w:tcW w:type="dxa" w:w="3168"/>
            <w:shd w:fill="2B6CB0"/>
            <w:tcMar>
              <w:top w:w="120" w:type="dxa"/>
              <w:bottom w:w="120" w:type="dxa"/>
              <w:left w:w="140" w:type="dxa"/>
              <w:right w:w="140" w:type="dxa"/>
            </w:tcMar>
          </w:tcPr>
          <w:p>
            <w:pPr>
              <w:jc w:val="left"/>
            </w:pPr>
            <w:r>
              <w:rPr>
                <w:rFonts w:ascii="Calibri" w:hAnsi="Calibri"/>
                <w:b/>
                <w:color w:val="FFFFFF"/>
                <w:sz w:val="20"/>
              </w:rPr>
              <w:t>Deliverable Type</w:t>
            </w:r>
          </w:p>
        </w:tc>
        <w:tc>
          <w:tcPr>
            <w:tcW w:type="dxa" w:w="1440"/>
            <w:shd w:fill="2B6CB0"/>
            <w:tcMar>
              <w:top w:w="120" w:type="dxa"/>
              <w:bottom w:w="120" w:type="dxa"/>
              <w:left w:w="140" w:type="dxa"/>
              <w:right w:w="140" w:type="dxa"/>
            </w:tcMar>
          </w:tcPr>
          <w:p>
            <w:pPr>
              <w:jc w:val="left"/>
            </w:pPr>
            <w:r>
              <w:rPr>
                <w:rFonts w:ascii="Calibri" w:hAnsi="Calibri"/>
                <w:b/>
                <w:color w:val="FFFFFF"/>
                <w:sz w:val="20"/>
              </w:rPr>
              <w:t>Duration</w:t>
            </w:r>
          </w:p>
        </w:tc>
      </w:tr>
      <w:tr>
        <w:tc>
          <w:tcPr>
            <w:tcW w:type="dxa" w:w="2592"/>
            <w:shd w:fill="FFFFFF"/>
            <w:tcMar>
              <w:top w:w="80" w:type="dxa"/>
              <w:bottom w:w="80" w:type="dxa"/>
              <w:left w:w="140" w:type="dxa"/>
              <w:right w:w="140" w:type="dxa"/>
            </w:tcMar>
          </w:tcPr>
          <w:p>
            <w:pPr>
              <w:spacing w:line="276" w:lineRule="auto" w:after="40" w:before="40"/>
            </w:pPr>
            <w:r>
              <w:rPr>
                <w:rFonts w:ascii="Calibri" w:hAnsi="Calibri"/>
                <w:color w:val="2D3748"/>
                <w:sz w:val="19"/>
              </w:rPr>
              <w:t>YuvaIntern 5-Week Virtual Internship</w:t>
            </w:r>
          </w:p>
        </w:tc>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Machine Learning (ML)</w:t>
            </w:r>
          </w:p>
        </w:tc>
        <w:tc>
          <w:tcPr>
            <w:tcW w:type="dxa" w:w="3168"/>
            <w:shd w:fill="FFFFFF"/>
            <w:tcMar>
              <w:top w:w="80" w:type="dxa"/>
              <w:bottom w:w="80" w:type="dxa"/>
              <w:left w:w="140" w:type="dxa"/>
              <w:right w:w="140" w:type="dxa"/>
            </w:tcMar>
          </w:tcPr>
          <w:p>
            <w:pPr>
              <w:spacing w:line="276" w:lineRule="auto" w:after="40" w:before="40"/>
            </w:pPr>
            <w:r>
              <w:rPr>
                <w:rFonts w:ascii="Calibri" w:hAnsi="Calibri"/>
                <w:color w:val="2D3748"/>
                <w:sz w:val="19"/>
              </w:rPr>
              <w:t>Week 1 Project Charter &amp; Strategy</w:t>
            </w:r>
          </w:p>
        </w:tc>
        <w:tc>
          <w:tcPr>
            <w:tcW w:type="dxa" w:w="1440"/>
            <w:shd w:fill="FFFFFF"/>
            <w:tcMar>
              <w:top w:w="80" w:type="dxa"/>
              <w:bottom w:w="80" w:type="dxa"/>
              <w:left w:w="140" w:type="dxa"/>
              <w:right w:w="140" w:type="dxa"/>
            </w:tcMar>
          </w:tcPr>
          <w:p>
            <w:pPr>
              <w:spacing w:line="276" w:lineRule="auto" w:after="40" w:before="40"/>
            </w:pPr>
            <w:r>
              <w:rPr>
                <w:rFonts w:ascii="Calibri" w:hAnsi="Calibri"/>
                <w:color w:val="2D3748"/>
                <w:sz w:val="19"/>
              </w:rPr>
              <w:t>5 Weeks (Weeks 1 – 5)</w:t>
            </w:r>
          </w:p>
        </w:tc>
      </w:tr>
    </w:tbl>
    <w:p>
      <w:pPr>
        <w:spacing w:after="160"/>
      </w:pPr>
    </w:p>
    <w:p>
      <w:pPr>
        <w:pStyle w:val="Heading1"/>
        <w:spacing w:before="280" w:after="80"/>
      </w:pPr>
      <w:r>
        <w:rPr>
          <w:b/>
          <w:color w:val="1A365D"/>
        </w:rPr>
        <w:t>1. Executive Summary</w:t>
      </w:r>
    </w:p>
    <w:p>
      <w:r>
        <w:t>In modern e-commerce and digital service ecosystems, customer-generated text (reviews, feedback tickets, social commentary) constitutes one of the richest yet most underutilized streams of operational intelligence. The primary objective of this 5-week machine learning initiative is to conceptualize, architect, validate, and deploy IntelliFeedback, an end-to-end Natural Language Processing (NLP) and Machine Learning platform capable of automated multiclass sentiment classification, key aspect extraction, and customer dissatisfaction signal detection.</w:t>
      </w:r>
    </w:p>
    <w:p>
      <w:r>
        <w:t>This strategic project plan establishes the technical foundation for the entire project lifecycle. It articulates the core problem statement, provides an empirical literature review, outlines hypothesis formulations, defines end-to-end data pipelines, sets up a rigorous validation matrix, schedules a 5-week milestone timeline, and conducts a proactive risk mitigation assessment. By adhering to enterprise ML engineering principles, the project balances computational efficiency with predictive rigor, providing a turnkey solution ready for real-world deployment.</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top w:val="none"/>
              <w:left w:val="single" w:sz="24" w:space="0" w:color="1A365D"/>
              <w:bottom w:val="none"/>
              <w:right w:val="none"/>
            </w:tcBorders>
          </w:tcPr>
          <w:p>
            <w:pPr>
              <w:spacing w:before="40" w:after="40" w:line="276" w:lineRule="auto"/>
            </w:pPr>
            <w:r>
              <w:rPr>
                <w:rFonts w:ascii="Calibri" w:hAnsi="Calibri"/>
                <w:b/>
                <w:color w:val="1A365D"/>
                <w:sz w:val="21"/>
              </w:rPr>
              <w:t xml:space="preserve">📌 PROJECT CHARTER PRINCIPLE: </w:t>
            </w:r>
            <w:r>
              <w:rPr>
                <w:rFonts w:ascii="Calibri" w:hAnsi="Calibri"/>
                <w:i/>
                <w:color w:val="2D3748"/>
                <w:sz w:val="21"/>
              </w:rPr>
              <w:t>IntelliFeedback bridges the gap between raw unstructured customer text and actionable executive decisions by deploying a dual-tiered architecture: a high-throughput, low-latency TF-IDF/Linear baseline for bulk stream ingestion coupled with a contextual transformer (DistilBERT) for nuanced, ambiguous feedback resolution.</w:t>
            </w:r>
          </w:p>
        </w:tc>
      </w:tr>
    </w:tbl>
    <w:p>
      <w:pPr>
        <w:spacing w:after="80"/>
      </w:pPr>
    </w:p>
    <w:p>
      <w:pPr>
        <w:pStyle w:val="Heading1"/>
        <w:spacing w:before="280" w:after="80"/>
      </w:pPr>
      <w:r>
        <w:rPr>
          <w:b/>
          <w:color w:val="1A365D"/>
        </w:rPr>
        <w:t>2. Problem Definition &amp; Business Significance</w:t>
      </w:r>
    </w:p>
    <w:p>
      <w:pPr>
        <w:pStyle w:val="Heading2"/>
      </w:pPr>
      <w:r>
        <w:rPr>
          <w:color w:val="2B6CB0"/>
        </w:rPr>
        <w:t>2.1 The Core Challenge</w:t>
      </w:r>
    </w:p>
    <w:p>
      <w:r>
        <w:t>Digital enterprises process tens of thousands of customer reviews and support interactions on a daily basis. Despite this abundance of data, companies face a critical 'Feedback Paralysis' bottleneck: human auditing of unstructured text is prohibitively costly, slow, and subjective. Consequently, critical alerts regarding product defects, logistics failures, and severe customer dissatisfaction are often surfaced weeks after initial occurrence, resulting in avoidable customer churn and brand erosion.</w:t>
      </w:r>
    </w:p>
    <w:p>
      <w:r>
        <w:t>Furthermore, superficial star-rating aggregates fail to capture nuanced sentiment: a 4-star review may contain acute complaints regarding shipping delays ('Great product, but delivery was a nightmare'), whereas a 2-star review might praise customer support despite a broken component. Without granular, context-aware Natural Language Processing, businesses remain blind to the true root causes.</w:t>
      </w:r>
    </w:p>
    <w:p>
      <w:pPr>
        <w:pStyle w:val="Heading2"/>
      </w:pPr>
      <w:r>
        <w:rPr>
          <w:color w:val="2B6CB0"/>
        </w:rPr>
        <w:t>2.2 Significance and Potential Impact</w:t>
      </w:r>
    </w:p>
    <w:p>
      <w:r>
        <w:t>Deploying an intelligent, automated feedback analytics pipeline yields direct, quantifiable benefits:</w:t>
      </w:r>
    </w:p>
    <w:p>
      <w:pPr>
        <w:pStyle w:val="ListBullet"/>
        <w:spacing w:after="60"/>
      </w:pPr>
      <w:r>
        <w:rPr>
          <w:b/>
          <w:color w:val="1A365D"/>
        </w:rPr>
        <w:t xml:space="preserve">Real-Time Churn Prevention: </w:t>
      </w:r>
      <w:r>
        <w:t>Immediate triage of severe negative feedback (escalation to customer retention teams within minutes).</w:t>
      </w:r>
    </w:p>
    <w:p>
      <w:pPr>
        <w:pStyle w:val="ListBullet"/>
        <w:spacing w:after="60"/>
      </w:pPr>
      <w:r>
        <w:rPr>
          <w:b/>
          <w:color w:val="1A365D"/>
        </w:rPr>
        <w:t xml:space="preserve">Operational Cost Reduction: </w:t>
      </w:r>
      <w:r>
        <w:t>Automating the classification of incoming sentiment reduces manual ticket tagging overhead by over 75%.</w:t>
      </w:r>
    </w:p>
    <w:p>
      <w:pPr>
        <w:pStyle w:val="ListBullet"/>
        <w:spacing w:after="60"/>
      </w:pPr>
      <w:r>
        <w:rPr>
          <w:b/>
          <w:color w:val="1A365D"/>
        </w:rPr>
        <w:t xml:space="preserve">Product Engineering Visibility: </w:t>
      </w:r>
      <w:r>
        <w:t>Categorization of sentiment by functional themes (e.g., packaging, quality, usability) accelerates sprint triage.</w:t>
      </w:r>
    </w:p>
    <w:p>
      <w:pPr>
        <w:pStyle w:val="ListBullet"/>
        <w:spacing w:after="60"/>
      </w:pPr>
      <w:r>
        <w:rPr>
          <w:b/>
          <w:color w:val="1A365D"/>
        </w:rPr>
        <w:t xml:space="preserve">Brand Reputation Monitoring: </w:t>
      </w:r>
      <w:r>
        <w:t>Instant detection of abnormal negative sentiment spikes indicates potential outages or supply chain disruptions.</w:t>
      </w:r>
    </w:p>
    <w:p>
      <w:pPr>
        <w:pStyle w:val="Heading1"/>
        <w:spacing w:before="280" w:after="80"/>
      </w:pPr>
      <w:r>
        <w:rPr>
          <w:b/>
          <w:color w:val="1A365D"/>
        </w:rPr>
        <w:t>3. Research Background &amp; Literature Review</w:t>
      </w:r>
    </w:p>
    <w:p>
      <w:r>
        <w:t>Sentiment analysis and opinion mining have evolved through three distinct paradigms in computational linguistics and machine learning:</w:t>
      </w:r>
    </w:p>
    <w:tbl>
      <w:tblPr>
        <w:tblW w:type="auto" w:w="0"/>
        <w:jc w:val="center"/>
        <w:tblLayout w:type="fixed"/>
        <w:tblLook w:firstColumn="1" w:firstRow="1" w:lastColumn="0" w:lastRow="0" w:noHBand="0" w:noVBand="1" w:val="04A0"/>
        <w:tblBorders>
          <w:top w:val="single" w:sz="4" w:space="0" w:color="CBD5E0"/>
          <w:left w:val="none"/>
          <w:bottom w:val="single" w:sz="8" w:space="0" w:color="1A365D"/>
          <w:right w:val="none"/>
          <w:insideH w:val="single" w:sz="4" w:space="0" w:color="E2E8F0"/>
          <w:insideV w:val="none"/>
        </w:tblBorders>
      </w:tblPr>
      <w:tblGrid>
        <w:gridCol w:w="2340"/>
        <w:gridCol w:w="2340"/>
        <w:gridCol w:w="2340"/>
        <w:gridCol w:w="2340"/>
      </w:tblGrid>
      <w:tr>
        <w:tc>
          <w:tcPr>
            <w:tcW w:type="dxa" w:w="2160"/>
            <w:shd w:fill="1A365D"/>
            <w:tcMar>
              <w:top w:w="120" w:type="dxa"/>
              <w:bottom w:w="120" w:type="dxa"/>
              <w:left w:w="140" w:type="dxa"/>
              <w:right w:w="140" w:type="dxa"/>
            </w:tcMar>
          </w:tcPr>
          <w:p>
            <w:pPr>
              <w:jc w:val="left"/>
            </w:pPr>
            <w:r>
              <w:rPr>
                <w:rFonts w:ascii="Calibri" w:hAnsi="Calibri"/>
                <w:b/>
                <w:color w:val="FFFFFF"/>
                <w:sz w:val="20"/>
              </w:rPr>
              <w:t>Paradigm</w:t>
            </w:r>
          </w:p>
        </w:tc>
        <w:tc>
          <w:tcPr>
            <w:tcW w:type="dxa" w:w="2592"/>
            <w:shd w:fill="1A365D"/>
            <w:tcMar>
              <w:top w:w="120" w:type="dxa"/>
              <w:bottom w:w="120" w:type="dxa"/>
              <w:left w:w="140" w:type="dxa"/>
              <w:right w:w="140" w:type="dxa"/>
            </w:tcMar>
          </w:tcPr>
          <w:p>
            <w:pPr>
              <w:jc w:val="left"/>
            </w:pPr>
            <w:r>
              <w:rPr>
                <w:rFonts w:ascii="Calibri" w:hAnsi="Calibri"/>
                <w:b/>
                <w:color w:val="FFFFFF"/>
                <w:sz w:val="20"/>
              </w:rPr>
              <w:t>Core Techniques</w:t>
            </w:r>
          </w:p>
        </w:tc>
        <w:tc>
          <w:tcPr>
            <w:tcW w:type="dxa" w:w="2592"/>
            <w:shd w:fill="1A365D"/>
            <w:tcMar>
              <w:top w:w="120" w:type="dxa"/>
              <w:bottom w:w="120" w:type="dxa"/>
              <w:left w:w="140" w:type="dxa"/>
              <w:right w:w="140" w:type="dxa"/>
            </w:tcMar>
          </w:tcPr>
          <w:p>
            <w:pPr>
              <w:jc w:val="left"/>
            </w:pPr>
            <w:r>
              <w:rPr>
                <w:rFonts w:ascii="Calibri" w:hAnsi="Calibri"/>
                <w:b/>
                <w:color w:val="FFFFFF"/>
                <w:sz w:val="20"/>
              </w:rPr>
              <w:t>Key Strengths</w:t>
            </w:r>
          </w:p>
        </w:tc>
        <w:tc>
          <w:tcPr>
            <w:tcW w:type="dxa" w:w="2016"/>
            <w:shd w:fill="1A365D"/>
            <w:tcMar>
              <w:top w:w="120" w:type="dxa"/>
              <w:bottom w:w="120" w:type="dxa"/>
              <w:left w:w="140" w:type="dxa"/>
              <w:right w:w="140" w:type="dxa"/>
            </w:tcMar>
          </w:tcPr>
          <w:p>
            <w:pPr>
              <w:jc w:val="left"/>
            </w:pPr>
            <w:r>
              <w:rPr>
                <w:rFonts w:ascii="Calibri" w:hAnsi="Calibri"/>
                <w:b/>
                <w:color w:val="FFFFFF"/>
                <w:sz w:val="20"/>
              </w:rPr>
              <w:t>Critical Limitations</w:t>
            </w:r>
          </w:p>
        </w:tc>
      </w:tr>
      <w:tr>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1. Lexicon-Based</w:t>
              <w:br/>
              <w:t>(Rule-based)</w:t>
            </w:r>
          </w:p>
        </w:tc>
        <w:tc>
          <w:tcPr>
            <w:tcW w:type="dxa" w:w="2592"/>
            <w:shd w:fill="FFFFFF"/>
            <w:tcMar>
              <w:top w:w="80" w:type="dxa"/>
              <w:bottom w:w="80" w:type="dxa"/>
              <w:left w:w="140" w:type="dxa"/>
              <w:right w:w="140" w:type="dxa"/>
            </w:tcMar>
          </w:tcPr>
          <w:p>
            <w:pPr>
              <w:spacing w:line="276" w:lineRule="auto" w:after="40" w:before="40"/>
            </w:pPr>
            <w:r>
              <w:rPr>
                <w:rFonts w:ascii="Calibri" w:hAnsi="Calibri"/>
                <w:color w:val="2D3748"/>
                <w:sz w:val="19"/>
              </w:rPr>
              <w:t>VADER, SentiWordNet, TextBlob dictionaries</w:t>
            </w:r>
          </w:p>
        </w:tc>
        <w:tc>
          <w:tcPr>
            <w:tcW w:type="dxa" w:w="2592"/>
            <w:shd w:fill="FFFFFF"/>
            <w:tcMar>
              <w:top w:w="80" w:type="dxa"/>
              <w:bottom w:w="80" w:type="dxa"/>
              <w:left w:w="140" w:type="dxa"/>
              <w:right w:w="140" w:type="dxa"/>
            </w:tcMar>
          </w:tcPr>
          <w:p>
            <w:pPr>
              <w:spacing w:line="276" w:lineRule="auto" w:after="40" w:before="40"/>
            </w:pPr>
            <w:r>
              <w:rPr>
                <w:rFonts w:ascii="Calibri" w:hAnsi="Calibri"/>
                <w:color w:val="2D3748"/>
                <w:sz w:val="19"/>
              </w:rPr>
              <w:t>Zero training data required; deterministic; ultra-fast execution (&lt;1ms).</w:t>
            </w:r>
          </w:p>
        </w:tc>
        <w:tc>
          <w:tcPr>
            <w:tcW w:type="dxa" w:w="2016"/>
            <w:shd w:fill="FFFFFF"/>
            <w:tcMar>
              <w:top w:w="80" w:type="dxa"/>
              <w:bottom w:w="80" w:type="dxa"/>
              <w:left w:w="140" w:type="dxa"/>
              <w:right w:w="140" w:type="dxa"/>
            </w:tcMar>
          </w:tcPr>
          <w:p>
            <w:pPr>
              <w:spacing w:line="276" w:lineRule="auto" w:after="40" w:before="40"/>
            </w:pPr>
            <w:r>
              <w:rPr>
                <w:rFonts w:ascii="Calibri" w:hAnsi="Calibri"/>
                <w:color w:val="2D3748"/>
                <w:sz w:val="19"/>
              </w:rPr>
              <w:t>Fails on negation ('not bad'), sarcasm, slang, and context-dependent domain jargon.</w:t>
            </w:r>
          </w:p>
        </w:tc>
      </w:tr>
      <w:tr>
        <w:tc>
          <w:tcPr>
            <w:tcW w:type="dxa" w:w="2160"/>
            <w:shd w:fill="F7FAFC"/>
            <w:tcMar>
              <w:top w:w="80" w:type="dxa"/>
              <w:bottom w:w="80" w:type="dxa"/>
              <w:left w:w="140" w:type="dxa"/>
              <w:right w:w="140" w:type="dxa"/>
            </w:tcMar>
          </w:tcPr>
          <w:p>
            <w:pPr>
              <w:spacing w:line="276" w:lineRule="auto" w:after="40" w:before="40"/>
            </w:pPr>
            <w:r>
              <w:rPr>
                <w:rFonts w:ascii="Calibri" w:hAnsi="Calibri"/>
                <w:color w:val="2D3748"/>
                <w:sz w:val="19"/>
              </w:rPr>
              <w:t>2. Statistical / Classical ML</w:t>
              <w:br/>
              <w:t>(Feature Engineering)</w:t>
            </w:r>
          </w:p>
        </w:tc>
        <w:tc>
          <w:tcPr>
            <w:tcW w:type="dxa" w:w="2592"/>
            <w:shd w:fill="F7FAFC"/>
            <w:tcMar>
              <w:top w:w="80" w:type="dxa"/>
              <w:bottom w:w="80" w:type="dxa"/>
              <w:left w:w="140" w:type="dxa"/>
              <w:right w:w="140" w:type="dxa"/>
            </w:tcMar>
          </w:tcPr>
          <w:p>
            <w:pPr>
              <w:spacing w:line="276" w:lineRule="auto" w:after="40" w:before="40"/>
            </w:pPr>
            <w:r>
              <w:rPr>
                <w:rFonts w:ascii="Calibri" w:hAnsi="Calibri"/>
                <w:color w:val="2D3748"/>
                <w:sz w:val="19"/>
              </w:rPr>
              <w:t>Bag-of-Words, TF-IDF n-grams + Logistic Regression, SVM, Naive Bayes</w:t>
            </w:r>
          </w:p>
        </w:tc>
        <w:tc>
          <w:tcPr>
            <w:tcW w:type="dxa" w:w="2592"/>
            <w:shd w:fill="F7FAFC"/>
            <w:tcMar>
              <w:top w:w="80" w:type="dxa"/>
              <w:bottom w:w="80" w:type="dxa"/>
              <w:left w:w="140" w:type="dxa"/>
              <w:right w:w="140" w:type="dxa"/>
            </w:tcMar>
          </w:tcPr>
          <w:p>
            <w:pPr>
              <w:spacing w:line="276" w:lineRule="auto" w:after="40" w:before="40"/>
            </w:pPr>
            <w:r>
              <w:rPr>
                <w:rFonts w:ascii="Calibri" w:hAnsi="Calibri"/>
                <w:color w:val="2D3748"/>
                <w:sz w:val="19"/>
              </w:rPr>
              <w:t>High sample efficiency; interpretable feature weights; highly scalable in production.</w:t>
            </w:r>
          </w:p>
        </w:tc>
        <w:tc>
          <w:tcPr>
            <w:tcW w:type="dxa" w:w="2016"/>
            <w:shd w:fill="F7FAFC"/>
            <w:tcMar>
              <w:top w:w="80" w:type="dxa"/>
              <w:bottom w:w="80" w:type="dxa"/>
              <w:left w:w="140" w:type="dxa"/>
              <w:right w:w="140" w:type="dxa"/>
            </w:tcMar>
          </w:tcPr>
          <w:p>
            <w:pPr>
              <w:spacing w:line="276" w:lineRule="auto" w:after="40" w:before="40"/>
            </w:pPr>
            <w:r>
              <w:rPr>
                <w:rFonts w:ascii="Calibri" w:hAnsi="Calibri"/>
                <w:color w:val="2D3748"/>
                <w:sz w:val="19"/>
              </w:rPr>
              <w:t>Ignores word order and contextual semantics; struggles with polysemy and long-range dependencies.</w:t>
            </w:r>
          </w:p>
        </w:tc>
      </w:tr>
      <w:tr>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3. Deep Contextual / Transformers</w:t>
              <w:br/>
              <w:t>(Representation Learning)</w:t>
            </w:r>
          </w:p>
        </w:tc>
        <w:tc>
          <w:tcPr>
            <w:tcW w:type="dxa" w:w="2592"/>
            <w:shd w:fill="FFFFFF"/>
            <w:tcMar>
              <w:top w:w="80" w:type="dxa"/>
              <w:bottom w:w="80" w:type="dxa"/>
              <w:left w:w="140" w:type="dxa"/>
              <w:right w:w="140" w:type="dxa"/>
            </w:tcMar>
          </w:tcPr>
          <w:p>
            <w:pPr>
              <w:spacing w:line="276" w:lineRule="auto" w:after="40" w:before="40"/>
            </w:pPr>
            <w:r>
              <w:rPr>
                <w:rFonts w:ascii="Calibri" w:hAnsi="Calibri"/>
                <w:color w:val="2D3748"/>
                <w:sz w:val="19"/>
              </w:rPr>
              <w:t>BERT (Devlin et al., 2018), RoBERTa (Liu et al., 2019), DistilBERT (Sanh et al., 2019)</w:t>
            </w:r>
          </w:p>
        </w:tc>
        <w:tc>
          <w:tcPr>
            <w:tcW w:type="dxa" w:w="2592"/>
            <w:shd w:fill="FFFFFF"/>
            <w:tcMar>
              <w:top w:w="80" w:type="dxa"/>
              <w:bottom w:w="80" w:type="dxa"/>
              <w:left w:w="140" w:type="dxa"/>
              <w:right w:w="140" w:type="dxa"/>
            </w:tcMar>
          </w:tcPr>
          <w:p>
            <w:pPr>
              <w:spacing w:line="276" w:lineRule="auto" w:after="40" w:before="40"/>
            </w:pPr>
            <w:r>
              <w:rPr>
                <w:rFonts w:ascii="Calibri" w:hAnsi="Calibri"/>
                <w:color w:val="2D3748"/>
                <w:sz w:val="19"/>
              </w:rPr>
              <w:t>State-of-the-art accuracy; captures bidirectional context, idioms, syntactic subtleties.</w:t>
            </w:r>
          </w:p>
        </w:tc>
        <w:tc>
          <w:tcPr>
            <w:tcW w:type="dxa" w:w="2016"/>
            <w:shd w:fill="FFFFFF"/>
            <w:tcMar>
              <w:top w:w="80" w:type="dxa"/>
              <w:bottom w:w="80" w:type="dxa"/>
              <w:left w:w="140" w:type="dxa"/>
              <w:right w:w="140" w:type="dxa"/>
            </w:tcMar>
          </w:tcPr>
          <w:p>
            <w:pPr>
              <w:spacing w:line="276" w:lineRule="auto" w:after="40" w:before="40"/>
            </w:pPr>
            <w:r>
              <w:rPr>
                <w:rFonts w:ascii="Calibri" w:hAnsi="Calibri"/>
                <w:color w:val="2D3748"/>
                <w:sz w:val="19"/>
              </w:rPr>
              <w:t>High inference latency; compute-intensive training requirements; susceptibility to fine-tuning instability.</w:t>
            </w:r>
          </w:p>
        </w:tc>
      </w:tr>
    </w:tbl>
    <w:p>
      <w:pPr>
        <w:spacing w:after="120"/>
      </w:pPr>
    </w:p>
    <w:p>
      <w:r>
        <w:t>Industry benchmarks (such as the Amazon Product Reviews benchmark and Yelp Open Dataset) demonstrate that while transformer models yield the highest overall Macro F1-score, production environments often suffer from prohibitive inference costs. Therefore, modern industry engineering standards recommend benchmarking robust classical pipelines (TF-IDF + Ridge/Logistic Regression) alongside lightweight transformer distillation (DistilBERT) to strike the optimal trade-off between predictive quality and system latency.</w:t>
      </w:r>
    </w:p>
    <w:p>
      <w:pPr>
        <w:pStyle w:val="Heading1"/>
        <w:spacing w:before="280" w:after="80"/>
      </w:pPr>
      <w:r>
        <w:rPr>
          <w:b/>
          <w:color w:val="1A365D"/>
        </w:rPr>
        <w:t>4. Hypothesis Formulation &amp; Project Goals</w:t>
      </w:r>
    </w:p>
    <w:p>
      <w:pPr>
        <w:pStyle w:val="Heading2"/>
      </w:pPr>
      <w:r>
        <w:rPr>
          <w:color w:val="2B6CB0"/>
        </w:rPr>
        <w:t>4.1 Core Hypotheses</w:t>
      </w:r>
    </w:p>
    <w:p>
      <w:pPr>
        <w:pStyle w:val="ListBullet"/>
        <w:spacing w:after="60"/>
      </w:pPr>
      <w:r>
        <w:rPr>
          <w:b/>
          <w:color w:val="1A365D"/>
        </w:rPr>
        <w:t xml:space="preserve">Hypothesis 1 (Feature Representation): </w:t>
      </w:r>
      <w:r>
        <w:t>Sub-linear TF-IDF scaling coupled with bi-gram and tri-gram tokens will outperform standard unigram Bag-of-Words by at least 5% in macro F1-score due to its ability to retain negations (e.g., 'not good', 'hardly works').</w:t>
      </w:r>
    </w:p>
    <w:p>
      <w:pPr>
        <w:pStyle w:val="ListBullet"/>
        <w:spacing w:after="60"/>
      </w:pPr>
      <w:r>
        <w:rPr>
          <w:b/>
          <w:color w:val="1A365D"/>
        </w:rPr>
        <w:t xml:space="preserve">Hypothesis 2 (Linear vs. Non-Linear Models): </w:t>
      </w:r>
      <w:r>
        <w:t>Linear Support Vector Machines (LinearSVC) and Logistic Regression with L2 regularization will demonstrate comparable accuracy to tree-based ensembles (Random Forest, XGBoost) on high-dimensional sparse TF-IDF vectors, while requiring less than one-tenth of the training time.</w:t>
      </w:r>
    </w:p>
    <w:p>
      <w:pPr>
        <w:pStyle w:val="ListBullet"/>
        <w:spacing w:after="60"/>
      </w:pPr>
      <w:r>
        <w:rPr>
          <w:b/>
          <w:color w:val="1A365D"/>
        </w:rPr>
        <w:t xml:space="preserve">Hypothesis 3 (Contextual Deep Learning): </w:t>
      </w:r>
      <w:r>
        <w:t>Fine-tuning a pre-trained DistilBERT architecture will provide a statistically significant uplift (&gt;6% macro F1-score) on subtle and sarcastic reviews where n-gram models inherently produce false positives.</w:t>
      </w:r>
    </w:p>
    <w:p>
      <w:pPr>
        <w:pStyle w:val="Heading2"/>
      </w:pPr>
      <w:r>
        <w:rPr>
          <w:color w:val="2B6CB0"/>
        </w:rPr>
        <w:t>4.2 SMART Project Objectives</w:t>
      </w:r>
    </w:p>
    <w:tbl>
      <w:tblPr>
        <w:tblW w:type="auto" w:w="0"/>
        <w:jc w:val="center"/>
        <w:tblLayout w:type="fixed"/>
        <w:tblLook w:firstColumn="1" w:firstRow="1" w:lastColumn="0" w:lastRow="0" w:noHBand="0" w:noVBand="1" w:val="04A0"/>
        <w:tblBorders>
          <w:top w:val="single" w:sz="4" w:space="0" w:color="CBD5E0"/>
          <w:left w:val="none"/>
          <w:bottom w:val="single" w:sz="8" w:space="0" w:color="1A365D"/>
          <w:right w:val="none"/>
          <w:insideH w:val="single" w:sz="4" w:space="0" w:color="E2E8F0"/>
          <w:insideV w:val="none"/>
        </w:tblBorders>
      </w:tblPr>
      <w:tblGrid>
        <w:gridCol w:w="3120"/>
        <w:gridCol w:w="3120"/>
        <w:gridCol w:w="3120"/>
      </w:tblGrid>
      <w:tr>
        <w:tc>
          <w:tcPr>
            <w:tcW w:type="dxa" w:w="1728"/>
            <w:shd w:fill="1A365D"/>
            <w:tcMar>
              <w:top w:w="120" w:type="dxa"/>
              <w:bottom w:w="120" w:type="dxa"/>
              <w:left w:w="140" w:type="dxa"/>
              <w:right w:w="140" w:type="dxa"/>
            </w:tcMar>
          </w:tcPr>
          <w:p>
            <w:pPr>
              <w:jc w:val="left"/>
            </w:pPr>
            <w:r>
              <w:rPr>
                <w:rFonts w:ascii="Calibri" w:hAnsi="Calibri"/>
                <w:b/>
                <w:color w:val="FFFFFF"/>
                <w:sz w:val="20"/>
              </w:rPr>
              <w:t>Dimension</w:t>
            </w:r>
          </w:p>
        </w:tc>
        <w:tc>
          <w:tcPr>
            <w:tcW w:type="dxa" w:w="5472"/>
            <w:shd w:fill="1A365D"/>
            <w:tcMar>
              <w:top w:w="120" w:type="dxa"/>
              <w:bottom w:w="120" w:type="dxa"/>
              <w:left w:w="140" w:type="dxa"/>
              <w:right w:w="140" w:type="dxa"/>
            </w:tcMar>
          </w:tcPr>
          <w:p>
            <w:pPr>
              <w:jc w:val="left"/>
            </w:pPr>
            <w:r>
              <w:rPr>
                <w:rFonts w:ascii="Calibri" w:hAnsi="Calibri"/>
                <w:b/>
                <w:color w:val="FFFFFF"/>
                <w:sz w:val="20"/>
              </w:rPr>
              <w:t>SMART Objective Specification</w:t>
            </w:r>
          </w:p>
        </w:tc>
        <w:tc>
          <w:tcPr>
            <w:tcW w:type="dxa" w:w="2160"/>
            <w:shd w:fill="1A365D"/>
            <w:tcMar>
              <w:top w:w="120" w:type="dxa"/>
              <w:bottom w:w="120" w:type="dxa"/>
              <w:left w:w="140" w:type="dxa"/>
              <w:right w:w="140" w:type="dxa"/>
            </w:tcMar>
          </w:tcPr>
          <w:p>
            <w:pPr>
              <w:jc w:val="left"/>
            </w:pPr>
            <w:r>
              <w:rPr>
                <w:rFonts w:ascii="Calibri" w:hAnsi="Calibri"/>
                <w:b/>
                <w:color w:val="FFFFFF"/>
                <w:sz w:val="20"/>
              </w:rPr>
              <w:t>Target Milestone</w:t>
            </w:r>
          </w:p>
        </w:tc>
      </w:tr>
      <w:tr>
        <w:tc>
          <w:tcPr>
            <w:tcW w:type="dxa" w:w="1728"/>
            <w:shd w:fill="FFFFFF"/>
            <w:tcMar>
              <w:top w:w="80" w:type="dxa"/>
              <w:bottom w:w="80" w:type="dxa"/>
              <w:left w:w="140" w:type="dxa"/>
              <w:right w:w="140" w:type="dxa"/>
            </w:tcMar>
          </w:tcPr>
          <w:p>
            <w:pPr>
              <w:spacing w:line="276" w:lineRule="auto" w:after="40" w:before="40"/>
            </w:pPr>
            <w:r>
              <w:rPr>
                <w:rFonts w:ascii="Calibri" w:hAnsi="Calibri"/>
                <w:color w:val="2D3748"/>
                <w:sz w:val="19"/>
              </w:rPr>
              <w:t>Specific</w:t>
            </w:r>
          </w:p>
        </w:tc>
        <w:tc>
          <w:tcPr>
            <w:tcW w:type="dxa" w:w="5472"/>
            <w:shd w:fill="FFFFFF"/>
            <w:tcMar>
              <w:top w:w="80" w:type="dxa"/>
              <w:bottom w:w="80" w:type="dxa"/>
              <w:left w:w="140" w:type="dxa"/>
              <w:right w:w="140" w:type="dxa"/>
            </w:tcMar>
          </w:tcPr>
          <w:p>
            <w:pPr>
              <w:spacing w:line="276" w:lineRule="auto" w:after="40" w:before="40"/>
            </w:pPr>
            <w:r>
              <w:rPr>
                <w:rFonts w:ascii="Calibri" w:hAnsi="Calibri"/>
                <w:color w:val="2D3748"/>
                <w:sz w:val="19"/>
              </w:rPr>
              <w:t>Build a multiclass NLP classifier categorizing reviews into Positive, Neutral, and Negative classes with confidence scores.</w:t>
            </w:r>
          </w:p>
        </w:tc>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Week 3 Deliverable</w:t>
            </w:r>
          </w:p>
        </w:tc>
      </w:tr>
      <w:tr>
        <w:tc>
          <w:tcPr>
            <w:tcW w:type="dxa" w:w="1728"/>
            <w:shd w:fill="F7FAFC"/>
            <w:tcMar>
              <w:top w:w="80" w:type="dxa"/>
              <w:bottom w:w="80" w:type="dxa"/>
              <w:left w:w="140" w:type="dxa"/>
              <w:right w:w="140" w:type="dxa"/>
            </w:tcMar>
          </w:tcPr>
          <w:p>
            <w:pPr>
              <w:spacing w:line="276" w:lineRule="auto" w:after="40" w:before="40"/>
            </w:pPr>
            <w:r>
              <w:rPr>
                <w:rFonts w:ascii="Calibri" w:hAnsi="Calibri"/>
                <w:color w:val="2D3748"/>
                <w:sz w:val="19"/>
              </w:rPr>
              <w:t>Measurable</w:t>
            </w:r>
          </w:p>
        </w:tc>
        <w:tc>
          <w:tcPr>
            <w:tcW w:type="dxa" w:w="5472"/>
            <w:shd w:fill="F7FAFC"/>
            <w:tcMar>
              <w:top w:w="80" w:type="dxa"/>
              <w:bottom w:w="80" w:type="dxa"/>
              <w:left w:w="140" w:type="dxa"/>
              <w:right w:w="140" w:type="dxa"/>
            </w:tcMar>
          </w:tcPr>
          <w:p>
            <w:pPr>
              <w:spacing w:line="276" w:lineRule="auto" w:after="40" w:before="40"/>
            </w:pPr>
            <w:r>
              <w:rPr>
                <w:rFonts w:ascii="Calibri" w:hAnsi="Calibri"/>
                <w:color w:val="2D3748"/>
                <w:sz w:val="19"/>
              </w:rPr>
              <w:t>Attain an overall Macro F1-Score of ≥ 0.88 and a balanced accuracy of ≥ 85% on held-out test data.</w:t>
            </w:r>
          </w:p>
        </w:tc>
        <w:tc>
          <w:tcPr>
            <w:tcW w:type="dxa" w:w="2160"/>
            <w:shd w:fill="F7FAFC"/>
            <w:tcMar>
              <w:top w:w="80" w:type="dxa"/>
              <w:bottom w:w="80" w:type="dxa"/>
              <w:left w:w="140" w:type="dxa"/>
              <w:right w:w="140" w:type="dxa"/>
            </w:tcMar>
          </w:tcPr>
          <w:p>
            <w:pPr>
              <w:spacing w:line="276" w:lineRule="auto" w:after="40" w:before="40"/>
            </w:pPr>
            <w:r>
              <w:rPr>
                <w:rFonts w:ascii="Calibri" w:hAnsi="Calibri"/>
                <w:color w:val="2D3748"/>
                <w:sz w:val="19"/>
              </w:rPr>
              <w:t>Week 4 Deliverable</w:t>
            </w:r>
          </w:p>
        </w:tc>
      </w:tr>
      <w:tr>
        <w:tc>
          <w:tcPr>
            <w:tcW w:type="dxa" w:w="1728"/>
            <w:shd w:fill="FFFFFF"/>
            <w:tcMar>
              <w:top w:w="80" w:type="dxa"/>
              <w:bottom w:w="80" w:type="dxa"/>
              <w:left w:w="140" w:type="dxa"/>
              <w:right w:w="140" w:type="dxa"/>
            </w:tcMar>
          </w:tcPr>
          <w:p>
            <w:pPr>
              <w:spacing w:line="276" w:lineRule="auto" w:after="40" w:before="40"/>
            </w:pPr>
            <w:r>
              <w:rPr>
                <w:rFonts w:ascii="Calibri" w:hAnsi="Calibri"/>
                <w:color w:val="2D3748"/>
                <w:sz w:val="19"/>
              </w:rPr>
              <w:t>Achievable</w:t>
            </w:r>
          </w:p>
        </w:tc>
        <w:tc>
          <w:tcPr>
            <w:tcW w:type="dxa" w:w="5472"/>
            <w:shd w:fill="FFFFFF"/>
            <w:tcMar>
              <w:top w:w="80" w:type="dxa"/>
              <w:bottom w:w="80" w:type="dxa"/>
              <w:left w:w="140" w:type="dxa"/>
              <w:right w:w="140" w:type="dxa"/>
            </w:tcMar>
          </w:tcPr>
          <w:p>
            <w:pPr>
              <w:spacing w:line="276" w:lineRule="auto" w:after="40" w:before="40"/>
            </w:pPr>
            <w:r>
              <w:rPr>
                <w:rFonts w:ascii="Calibri" w:hAnsi="Calibri"/>
                <w:color w:val="2D3748"/>
                <w:sz w:val="19"/>
              </w:rPr>
              <w:t>Utilize established public e-commerce datasets (Amazon/Yelp, 20,000+ curated records) and open-source Scikit-Learn/HuggingFace libraries.</w:t>
            </w:r>
          </w:p>
        </w:tc>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Week 2 Deliverable</w:t>
            </w:r>
          </w:p>
        </w:tc>
      </w:tr>
      <w:tr>
        <w:tc>
          <w:tcPr>
            <w:tcW w:type="dxa" w:w="1728"/>
            <w:shd w:fill="F7FAFC"/>
            <w:tcMar>
              <w:top w:w="80" w:type="dxa"/>
              <w:bottom w:w="80" w:type="dxa"/>
              <w:left w:w="140" w:type="dxa"/>
              <w:right w:w="140" w:type="dxa"/>
            </w:tcMar>
          </w:tcPr>
          <w:p>
            <w:pPr>
              <w:spacing w:line="276" w:lineRule="auto" w:after="40" w:before="40"/>
            </w:pPr>
            <w:r>
              <w:rPr>
                <w:rFonts w:ascii="Calibri" w:hAnsi="Calibri"/>
                <w:color w:val="2D3748"/>
                <w:sz w:val="19"/>
              </w:rPr>
              <w:t>Relevant</w:t>
            </w:r>
          </w:p>
        </w:tc>
        <w:tc>
          <w:tcPr>
            <w:tcW w:type="dxa" w:w="5472"/>
            <w:shd w:fill="F7FAFC"/>
            <w:tcMar>
              <w:top w:w="80" w:type="dxa"/>
              <w:bottom w:w="80" w:type="dxa"/>
              <w:left w:w="140" w:type="dxa"/>
              <w:right w:w="140" w:type="dxa"/>
            </w:tcMar>
          </w:tcPr>
          <w:p>
            <w:pPr>
              <w:spacing w:line="276" w:lineRule="auto" w:after="40" w:before="40"/>
            </w:pPr>
            <w:r>
              <w:rPr>
                <w:rFonts w:ascii="Calibri" w:hAnsi="Calibri"/>
                <w:color w:val="2D3748"/>
                <w:sz w:val="19"/>
              </w:rPr>
              <w:t>Directly solve feedback routing latency, enabling instant triage of high-risk negative complaints.</w:t>
            </w:r>
          </w:p>
        </w:tc>
        <w:tc>
          <w:tcPr>
            <w:tcW w:type="dxa" w:w="2160"/>
            <w:shd w:fill="F7FAFC"/>
            <w:tcMar>
              <w:top w:w="80" w:type="dxa"/>
              <w:bottom w:w="80" w:type="dxa"/>
              <w:left w:w="140" w:type="dxa"/>
              <w:right w:w="140" w:type="dxa"/>
            </w:tcMar>
          </w:tcPr>
          <w:p>
            <w:pPr>
              <w:spacing w:line="276" w:lineRule="auto" w:after="40" w:before="40"/>
            </w:pPr>
            <w:r>
              <w:rPr>
                <w:rFonts w:ascii="Calibri" w:hAnsi="Calibri"/>
                <w:color w:val="2D3748"/>
                <w:sz w:val="19"/>
              </w:rPr>
              <w:t>Week 5 Deliverable</w:t>
            </w:r>
          </w:p>
        </w:tc>
      </w:tr>
      <w:tr>
        <w:tc>
          <w:tcPr>
            <w:tcW w:type="dxa" w:w="1728"/>
            <w:shd w:fill="FFFFFF"/>
            <w:tcMar>
              <w:top w:w="80" w:type="dxa"/>
              <w:bottom w:w="80" w:type="dxa"/>
              <w:left w:w="140" w:type="dxa"/>
              <w:right w:w="140" w:type="dxa"/>
            </w:tcMar>
          </w:tcPr>
          <w:p>
            <w:pPr>
              <w:spacing w:line="276" w:lineRule="auto" w:after="40" w:before="40"/>
            </w:pPr>
            <w:r>
              <w:rPr>
                <w:rFonts w:ascii="Calibri" w:hAnsi="Calibri"/>
                <w:color w:val="2D3748"/>
                <w:sz w:val="19"/>
              </w:rPr>
              <w:t>Time-Bound</w:t>
            </w:r>
          </w:p>
        </w:tc>
        <w:tc>
          <w:tcPr>
            <w:tcW w:type="dxa" w:w="5472"/>
            <w:shd w:fill="FFFFFF"/>
            <w:tcMar>
              <w:top w:w="80" w:type="dxa"/>
              <w:bottom w:w="80" w:type="dxa"/>
              <w:left w:w="140" w:type="dxa"/>
              <w:right w:w="140" w:type="dxa"/>
            </w:tcMar>
          </w:tcPr>
          <w:p>
            <w:pPr>
              <w:spacing w:line="276" w:lineRule="auto" w:after="40" w:before="40"/>
            </w:pPr>
            <w:r>
              <w:rPr>
                <w:rFonts w:ascii="Calibri" w:hAnsi="Calibri"/>
                <w:color w:val="2D3748"/>
                <w:sz w:val="19"/>
              </w:rPr>
              <w:t>Complete all design, preprocessing, model tuning, evaluation, and interactive demo deployment within 5 calendar weeks.</w:t>
            </w:r>
          </w:p>
        </w:tc>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Weeks 1 – 5</w:t>
            </w:r>
          </w:p>
        </w:tc>
      </w:tr>
    </w:tbl>
    <w:p>
      <w:pPr>
        <w:spacing w:after="120"/>
      </w:pPr>
    </w:p>
    <w:p>
      <w:pPr>
        <w:pStyle w:val="Heading1"/>
        <w:spacing w:before="280" w:after="80"/>
      </w:pPr>
      <w:r>
        <w:rPr>
          <w:b/>
          <w:color w:val="1A365D"/>
        </w:rPr>
        <w:t>5. Methodology &amp; Technical Approach</w:t>
      </w:r>
    </w:p>
    <w:p>
      <w:r>
        <w:t>The project follows a standard CRISP-DM (Cross-Industry Standard Process for Data Mining) and MLOps lifecycle, structured into five rigorous pipeline stages:</w:t>
      </w:r>
    </w:p>
    <w:p>
      <w:pPr>
        <w:pStyle w:val="ListBullet"/>
        <w:spacing w:after="60"/>
      </w:pPr>
      <w:r>
        <w:rPr>
          <w:b/>
          <w:color w:val="1A365D"/>
        </w:rPr>
        <w:t xml:space="preserve">Step 1: Data Acquisition &amp; Preprocessing: </w:t>
      </w:r>
      <w:r>
        <w:t>Acquire a benchmark multi-domain customer review dataset (e.g., Amazon Consumer Reviews dataset, Kaggle / Stanford SNAP). Execute text normalization: HTML decoding, lowercase normalization, contraction expansion ('won't' -&gt; 'will not'), punctuation cleaning while preserving sentiment emojis, stopword pruning (ensuring negation words like 'no', 'not', 'never' are retained), and WordNet Lemmatization.</w:t>
      </w:r>
    </w:p>
    <w:p>
      <w:pPr>
        <w:pStyle w:val="ListBullet"/>
        <w:spacing w:after="60"/>
      </w:pPr>
      <w:r>
        <w:rPr>
          <w:b/>
          <w:color w:val="1A365D"/>
        </w:rPr>
        <w:t xml:space="preserve">Step 2: Exploratory Data Analysis (EDA): </w:t>
      </w:r>
      <w:r>
        <w:t>Analyze class label distribution, review length histograms, word cloud distributions per sentiment category, and n-gram frequency distributions. Identify anomalies such as duplicate reviews, bots, and empty strings.</w:t>
      </w:r>
    </w:p>
    <w:p>
      <w:pPr>
        <w:pStyle w:val="ListBullet"/>
        <w:spacing w:after="60"/>
      </w:pPr>
      <w:r>
        <w:rPr>
          <w:b/>
          <w:color w:val="1A365D"/>
        </w:rPr>
        <w:t xml:space="preserve">Step 3: Feature Extraction &amp; Engineering: </w:t>
      </w:r>
      <w:r>
        <w:t>Construct two parallel representation tracks: (A) Statistical Track using sub-linear TF-IDF vectorization with n-gram range (1, 3), max_features=10,000, and min_df=5; (B) Deep Learning Track using Hugging Face AutoTokenizer for DistilBERT with dynamic padding and attention masking.</w:t>
      </w:r>
    </w:p>
    <w:p>
      <w:pPr>
        <w:pStyle w:val="ListBullet"/>
        <w:spacing w:after="60"/>
      </w:pPr>
      <w:r>
        <w:rPr>
          <w:b/>
          <w:color w:val="1A365D"/>
        </w:rPr>
        <w:t xml:space="preserve">Step 4: Model Exploration &amp; Hyperparameter Tuning: </w:t>
      </w:r>
      <w:r>
        <w:t>Train baseline models: Multinomial Naive Bayes, Logistic Regression (L2 penalty), Support Vector Classifier (LinearSVC), and Random Forest. Perform GridSearchCV / RandomizedSearchCV for hyperparameter optimization (regularization strength C, n-gram ranges, solver types). Fine-tune pre-trained DistilBERT with AdamW optimizer, warmup schedules, and learning rate 2e-5.</w:t>
      </w:r>
    </w:p>
    <w:p>
      <w:pPr>
        <w:pStyle w:val="ListBullet"/>
        <w:spacing w:after="60"/>
      </w:pPr>
      <w:r>
        <w:rPr>
          <w:b/>
          <w:color w:val="1A365D"/>
        </w:rPr>
        <w:t xml:space="preserve">Step 5: Pipeline Packaging &amp; Inference Interface: </w:t>
      </w:r>
      <w:r>
        <w:t>Serialize the winning preprocessing and model artifacts using Joblib/ONNX. Develop a modular Python inference class and an interactive web interface (Streamlit) for real-time text input and batch CSV scoring.</w:t>
      </w:r>
    </w:p>
    <w:p>
      <w:pPr>
        <w:pStyle w:val="Heading1"/>
        <w:spacing w:before="280" w:after="80"/>
      </w:pPr>
      <w:r>
        <w:rPr>
          <w:b/>
          <w:color w:val="1A365D"/>
        </w:rPr>
        <w:t>6. Evaluation Criteria &amp; Validation Strategy</w:t>
      </w:r>
    </w:p>
    <w:p>
      <w:r>
        <w:t>In customer feedback classification, class distributions are characteristically imbalanced (positive reviews typically outnumber negative reviews 3:1). Consequently, relying solely on raw Accuracy is misleading. The project adopts a comprehensive evaluation matrix:</w:t>
      </w:r>
    </w:p>
    <w:tbl>
      <w:tblPr>
        <w:tblW w:type="auto" w:w="0"/>
        <w:jc w:val="center"/>
        <w:tblLayout w:type="fixed"/>
        <w:tblLook w:firstColumn="1" w:firstRow="1" w:lastColumn="0" w:lastRow="0" w:noHBand="0" w:noVBand="1" w:val="04A0"/>
        <w:tblBorders>
          <w:top w:val="single" w:sz="4" w:space="0" w:color="CBD5E0"/>
          <w:left w:val="none"/>
          <w:bottom w:val="single" w:sz="8" w:space="0" w:color="1A365D"/>
          <w:right w:val="none"/>
          <w:insideH w:val="single" w:sz="4" w:space="0" w:color="E2E8F0"/>
          <w:insideV w:val="none"/>
        </w:tblBorders>
      </w:tblPr>
      <w:tblGrid>
        <w:gridCol w:w="3120"/>
        <w:gridCol w:w="3120"/>
        <w:gridCol w:w="3120"/>
      </w:tblGrid>
      <w:tr>
        <w:tc>
          <w:tcPr>
            <w:tcW w:type="dxa" w:w="2592"/>
            <w:shd w:fill="1A365D"/>
            <w:tcMar>
              <w:top w:w="120" w:type="dxa"/>
              <w:bottom w:w="120" w:type="dxa"/>
              <w:left w:w="140" w:type="dxa"/>
              <w:right w:w="140" w:type="dxa"/>
            </w:tcMar>
          </w:tcPr>
          <w:p>
            <w:pPr>
              <w:jc w:val="left"/>
            </w:pPr>
            <w:r>
              <w:rPr>
                <w:rFonts w:ascii="Calibri" w:hAnsi="Calibri"/>
                <w:b/>
                <w:color w:val="FFFFFF"/>
                <w:sz w:val="20"/>
              </w:rPr>
              <w:t>Metric</w:t>
            </w:r>
          </w:p>
        </w:tc>
        <w:tc>
          <w:tcPr>
            <w:tcW w:type="dxa" w:w="4896"/>
            <w:shd w:fill="1A365D"/>
            <w:tcMar>
              <w:top w:w="120" w:type="dxa"/>
              <w:bottom w:w="120" w:type="dxa"/>
              <w:left w:w="140" w:type="dxa"/>
              <w:right w:w="140" w:type="dxa"/>
            </w:tcMar>
          </w:tcPr>
          <w:p>
            <w:pPr>
              <w:jc w:val="left"/>
            </w:pPr>
            <w:r>
              <w:rPr>
                <w:rFonts w:ascii="Calibri" w:hAnsi="Calibri"/>
                <w:b/>
                <w:color w:val="FFFFFF"/>
                <w:sz w:val="20"/>
              </w:rPr>
              <w:t>Mathematical Definition / Purpose</w:t>
            </w:r>
          </w:p>
        </w:tc>
        <w:tc>
          <w:tcPr>
            <w:tcW w:type="dxa" w:w="1872"/>
            <w:shd w:fill="1A365D"/>
            <w:tcMar>
              <w:top w:w="120" w:type="dxa"/>
              <w:bottom w:w="120" w:type="dxa"/>
              <w:left w:w="140" w:type="dxa"/>
              <w:right w:w="140" w:type="dxa"/>
            </w:tcMar>
          </w:tcPr>
          <w:p>
            <w:pPr>
              <w:jc w:val="left"/>
            </w:pPr>
            <w:r>
              <w:rPr>
                <w:rFonts w:ascii="Calibri" w:hAnsi="Calibri"/>
                <w:b/>
                <w:color w:val="FFFFFF"/>
                <w:sz w:val="20"/>
              </w:rPr>
              <w:t>Strategic Target</w:t>
            </w:r>
          </w:p>
        </w:tc>
      </w:tr>
      <w:tr>
        <w:tc>
          <w:tcPr>
            <w:tcW w:type="dxa" w:w="2592"/>
            <w:shd w:fill="FFFFFF"/>
            <w:tcMar>
              <w:top w:w="80" w:type="dxa"/>
              <w:bottom w:w="80" w:type="dxa"/>
              <w:left w:w="140" w:type="dxa"/>
              <w:right w:w="140" w:type="dxa"/>
            </w:tcMar>
          </w:tcPr>
          <w:p>
            <w:pPr>
              <w:spacing w:line="276" w:lineRule="auto" w:after="40" w:before="40"/>
            </w:pPr>
            <w:r>
              <w:rPr>
                <w:rFonts w:ascii="Calibri" w:hAnsi="Calibri"/>
                <w:color w:val="2D3748"/>
                <w:sz w:val="19"/>
              </w:rPr>
              <w:t>Macro F1-Score</w:t>
            </w:r>
          </w:p>
        </w:tc>
        <w:tc>
          <w:tcPr>
            <w:tcW w:type="dxa" w:w="4896"/>
            <w:shd w:fill="FFFFFF"/>
            <w:tcMar>
              <w:top w:w="80" w:type="dxa"/>
              <w:bottom w:w="80" w:type="dxa"/>
              <w:left w:w="140" w:type="dxa"/>
              <w:right w:w="140" w:type="dxa"/>
            </w:tcMar>
          </w:tcPr>
          <w:p>
            <w:pPr>
              <w:spacing w:line="276" w:lineRule="auto" w:after="40" w:before="40"/>
            </w:pPr>
            <w:r>
              <w:rPr>
                <w:rFonts w:ascii="Calibri" w:hAnsi="Calibri"/>
                <w:color w:val="2D3748"/>
                <w:sz w:val="19"/>
              </w:rPr>
              <w:t>Unweighted average of F1 across Positive, Neutral, and Negative classes; penalizes poor performance on minority classes.</w:t>
            </w:r>
          </w:p>
        </w:tc>
        <w:tc>
          <w:tcPr>
            <w:tcW w:type="dxa" w:w="1872"/>
            <w:shd w:fill="FFFFFF"/>
            <w:tcMar>
              <w:top w:w="80" w:type="dxa"/>
              <w:bottom w:w="80" w:type="dxa"/>
              <w:left w:w="140" w:type="dxa"/>
              <w:right w:w="140" w:type="dxa"/>
            </w:tcMar>
          </w:tcPr>
          <w:p>
            <w:pPr>
              <w:spacing w:line="276" w:lineRule="auto" w:after="40" w:before="40"/>
            </w:pPr>
            <w:r>
              <w:rPr>
                <w:rFonts w:ascii="Calibri" w:hAnsi="Calibri"/>
                <w:color w:val="2D3748"/>
                <w:sz w:val="19"/>
              </w:rPr>
              <w:t>≥ 0.88</w:t>
            </w:r>
          </w:p>
        </w:tc>
      </w:tr>
      <w:tr>
        <w:tc>
          <w:tcPr>
            <w:tcW w:type="dxa" w:w="2592"/>
            <w:shd w:fill="F7FAFC"/>
            <w:tcMar>
              <w:top w:w="80" w:type="dxa"/>
              <w:bottom w:w="80" w:type="dxa"/>
              <w:left w:w="140" w:type="dxa"/>
              <w:right w:w="140" w:type="dxa"/>
            </w:tcMar>
          </w:tcPr>
          <w:p>
            <w:pPr>
              <w:spacing w:line="276" w:lineRule="auto" w:after="40" w:before="40"/>
            </w:pPr>
            <w:r>
              <w:rPr>
                <w:rFonts w:ascii="Calibri" w:hAnsi="Calibri"/>
                <w:color w:val="2D3748"/>
                <w:sz w:val="19"/>
              </w:rPr>
              <w:t>Negative Class Recall</w:t>
            </w:r>
          </w:p>
        </w:tc>
        <w:tc>
          <w:tcPr>
            <w:tcW w:type="dxa" w:w="4896"/>
            <w:shd w:fill="F7FAFC"/>
            <w:tcMar>
              <w:top w:w="80" w:type="dxa"/>
              <w:bottom w:w="80" w:type="dxa"/>
              <w:left w:w="140" w:type="dxa"/>
              <w:right w:w="140" w:type="dxa"/>
            </w:tcMar>
          </w:tcPr>
          <w:p>
            <w:pPr>
              <w:spacing w:line="276" w:lineRule="auto" w:after="40" w:before="40"/>
            </w:pPr>
            <w:r>
              <w:rPr>
                <w:rFonts w:ascii="Calibri" w:hAnsi="Calibri"/>
                <w:color w:val="2D3748"/>
                <w:sz w:val="19"/>
              </w:rPr>
              <w:t>Proportion of actual negative reviews correctly flagged: TP_neg / (TP_neg + FN_neg). Essential for churn triage.</w:t>
            </w:r>
          </w:p>
        </w:tc>
        <w:tc>
          <w:tcPr>
            <w:tcW w:type="dxa" w:w="1872"/>
            <w:shd w:fill="F7FAFC"/>
            <w:tcMar>
              <w:top w:w="80" w:type="dxa"/>
              <w:bottom w:w="80" w:type="dxa"/>
              <w:left w:w="140" w:type="dxa"/>
              <w:right w:w="140" w:type="dxa"/>
            </w:tcMar>
          </w:tcPr>
          <w:p>
            <w:pPr>
              <w:spacing w:line="276" w:lineRule="auto" w:after="40" w:before="40"/>
            </w:pPr>
            <w:r>
              <w:rPr>
                <w:rFonts w:ascii="Calibri" w:hAnsi="Calibri"/>
                <w:color w:val="2D3748"/>
                <w:sz w:val="19"/>
              </w:rPr>
              <w:t>≥ 0.90</w:t>
            </w:r>
          </w:p>
        </w:tc>
      </w:tr>
      <w:tr>
        <w:tc>
          <w:tcPr>
            <w:tcW w:type="dxa" w:w="2592"/>
            <w:shd w:fill="FFFFFF"/>
            <w:tcMar>
              <w:top w:w="80" w:type="dxa"/>
              <w:bottom w:w="80" w:type="dxa"/>
              <w:left w:w="140" w:type="dxa"/>
              <w:right w:w="140" w:type="dxa"/>
            </w:tcMar>
          </w:tcPr>
          <w:p>
            <w:pPr>
              <w:spacing w:line="276" w:lineRule="auto" w:after="40" w:before="40"/>
            </w:pPr>
            <w:r>
              <w:rPr>
                <w:rFonts w:ascii="Calibri" w:hAnsi="Calibri"/>
                <w:color w:val="2D3748"/>
                <w:sz w:val="19"/>
              </w:rPr>
              <w:t>Balanced Accuracy</w:t>
            </w:r>
          </w:p>
        </w:tc>
        <w:tc>
          <w:tcPr>
            <w:tcW w:type="dxa" w:w="4896"/>
            <w:shd w:fill="FFFFFF"/>
            <w:tcMar>
              <w:top w:w="80" w:type="dxa"/>
              <w:bottom w:w="80" w:type="dxa"/>
              <w:left w:w="140" w:type="dxa"/>
              <w:right w:w="140" w:type="dxa"/>
            </w:tcMar>
          </w:tcPr>
          <w:p>
            <w:pPr>
              <w:spacing w:line="276" w:lineRule="auto" w:after="40" w:before="40"/>
            </w:pPr>
            <w:r>
              <w:rPr>
                <w:rFonts w:ascii="Calibri" w:hAnsi="Calibri"/>
                <w:color w:val="2D3748"/>
                <w:sz w:val="19"/>
              </w:rPr>
              <w:t>Average recall obtained on each class, guarding against majority class bias.</w:t>
            </w:r>
          </w:p>
        </w:tc>
        <w:tc>
          <w:tcPr>
            <w:tcW w:type="dxa" w:w="1872"/>
            <w:shd w:fill="FFFFFF"/>
            <w:tcMar>
              <w:top w:w="80" w:type="dxa"/>
              <w:bottom w:w="80" w:type="dxa"/>
              <w:left w:w="140" w:type="dxa"/>
              <w:right w:w="140" w:type="dxa"/>
            </w:tcMar>
          </w:tcPr>
          <w:p>
            <w:pPr>
              <w:spacing w:line="276" w:lineRule="auto" w:after="40" w:before="40"/>
            </w:pPr>
            <w:r>
              <w:rPr>
                <w:rFonts w:ascii="Calibri" w:hAnsi="Calibri"/>
                <w:color w:val="2D3748"/>
                <w:sz w:val="19"/>
              </w:rPr>
              <w:t>≥ 0.85</w:t>
            </w:r>
          </w:p>
        </w:tc>
      </w:tr>
      <w:tr>
        <w:tc>
          <w:tcPr>
            <w:tcW w:type="dxa" w:w="2592"/>
            <w:shd w:fill="F7FAFC"/>
            <w:tcMar>
              <w:top w:w="80" w:type="dxa"/>
              <w:bottom w:w="80" w:type="dxa"/>
              <w:left w:w="140" w:type="dxa"/>
              <w:right w:w="140" w:type="dxa"/>
            </w:tcMar>
          </w:tcPr>
          <w:p>
            <w:pPr>
              <w:spacing w:line="276" w:lineRule="auto" w:after="40" w:before="40"/>
            </w:pPr>
            <w:r>
              <w:rPr>
                <w:rFonts w:ascii="Calibri" w:hAnsi="Calibri"/>
                <w:color w:val="2D3748"/>
                <w:sz w:val="19"/>
              </w:rPr>
              <w:t>ROC-AUC (One-vs-Rest)</w:t>
            </w:r>
          </w:p>
        </w:tc>
        <w:tc>
          <w:tcPr>
            <w:tcW w:type="dxa" w:w="4896"/>
            <w:shd w:fill="F7FAFC"/>
            <w:tcMar>
              <w:top w:w="80" w:type="dxa"/>
              <w:bottom w:w="80" w:type="dxa"/>
              <w:left w:w="140" w:type="dxa"/>
              <w:right w:w="140" w:type="dxa"/>
            </w:tcMar>
          </w:tcPr>
          <w:p>
            <w:pPr>
              <w:spacing w:line="276" w:lineRule="auto" w:after="40" w:before="40"/>
            </w:pPr>
            <w:r>
              <w:rPr>
                <w:rFonts w:ascii="Calibri" w:hAnsi="Calibri"/>
                <w:color w:val="2D3748"/>
                <w:sz w:val="19"/>
              </w:rPr>
              <w:t>Separability metric evaluating probability calibration across multiclass thresholds.</w:t>
            </w:r>
          </w:p>
        </w:tc>
        <w:tc>
          <w:tcPr>
            <w:tcW w:type="dxa" w:w="1872"/>
            <w:shd w:fill="F7FAFC"/>
            <w:tcMar>
              <w:top w:w="80" w:type="dxa"/>
              <w:bottom w:w="80" w:type="dxa"/>
              <w:left w:w="140" w:type="dxa"/>
              <w:right w:w="140" w:type="dxa"/>
            </w:tcMar>
          </w:tcPr>
          <w:p>
            <w:pPr>
              <w:spacing w:line="276" w:lineRule="auto" w:after="40" w:before="40"/>
            </w:pPr>
            <w:r>
              <w:rPr>
                <w:rFonts w:ascii="Calibri" w:hAnsi="Calibri"/>
                <w:color w:val="2D3748"/>
                <w:sz w:val="19"/>
              </w:rPr>
              <w:t>≥ 0.92</w:t>
            </w:r>
          </w:p>
        </w:tc>
      </w:tr>
      <w:tr>
        <w:tc>
          <w:tcPr>
            <w:tcW w:type="dxa" w:w="2592"/>
            <w:shd w:fill="FFFFFF"/>
            <w:tcMar>
              <w:top w:w="80" w:type="dxa"/>
              <w:bottom w:w="80" w:type="dxa"/>
              <w:left w:w="140" w:type="dxa"/>
              <w:right w:w="140" w:type="dxa"/>
            </w:tcMar>
          </w:tcPr>
          <w:p>
            <w:pPr>
              <w:spacing w:line="276" w:lineRule="auto" w:after="40" w:before="40"/>
            </w:pPr>
            <w:r>
              <w:rPr>
                <w:rFonts w:ascii="Calibri" w:hAnsi="Calibri"/>
                <w:color w:val="2D3748"/>
                <w:sz w:val="19"/>
              </w:rPr>
              <w:t>Inference Latency</w:t>
            </w:r>
          </w:p>
        </w:tc>
        <w:tc>
          <w:tcPr>
            <w:tcW w:type="dxa" w:w="4896"/>
            <w:shd w:fill="FFFFFF"/>
            <w:tcMar>
              <w:top w:w="80" w:type="dxa"/>
              <w:bottom w:w="80" w:type="dxa"/>
              <w:left w:w="140" w:type="dxa"/>
              <w:right w:w="140" w:type="dxa"/>
            </w:tcMar>
          </w:tcPr>
          <w:p>
            <w:pPr>
              <w:spacing w:line="276" w:lineRule="auto" w:after="40" w:before="40"/>
            </w:pPr>
            <w:r>
              <w:rPr>
                <w:rFonts w:ascii="Calibri" w:hAnsi="Calibri"/>
                <w:color w:val="2D3748"/>
                <w:sz w:val="19"/>
              </w:rPr>
              <w:t>95th percentile execution time per single review prediction in production.</w:t>
            </w:r>
          </w:p>
        </w:tc>
        <w:tc>
          <w:tcPr>
            <w:tcW w:type="dxa" w:w="1872"/>
            <w:shd w:fill="FFFFFF"/>
            <w:tcMar>
              <w:top w:w="80" w:type="dxa"/>
              <w:bottom w:w="80" w:type="dxa"/>
              <w:left w:w="140" w:type="dxa"/>
              <w:right w:w="140" w:type="dxa"/>
            </w:tcMar>
          </w:tcPr>
          <w:p>
            <w:pPr>
              <w:spacing w:line="276" w:lineRule="auto" w:after="40" w:before="40"/>
            </w:pPr>
            <w:r>
              <w:rPr>
                <w:rFonts w:ascii="Calibri" w:hAnsi="Calibri"/>
                <w:color w:val="2D3748"/>
                <w:sz w:val="19"/>
              </w:rPr>
              <w:t>&lt; 20 ms (classical)</w:t>
              <w:br/>
              <w:t>&lt; 120 ms (DistilBERT)</w:t>
            </w:r>
          </w:p>
        </w:tc>
      </w:tr>
    </w:tbl>
    <w:p>
      <w:pPr>
        <w:spacing w:after="80"/>
      </w:pPr>
    </w:p>
    <w:p>
      <w:r>
        <w:t>Validation Strategy: Data will be partitioned into 70% Training, 15% Validation, and 15% Blind Testing. Model tuning on the training set will utilize Stratified 5-Fold Cross-Validation with fixed random seeds (random_state=42) to guarantee statistical reproducibility across experimental runs.</w:t>
      </w:r>
    </w:p>
    <w:p>
      <w:pPr>
        <w:pStyle w:val="Heading1"/>
        <w:spacing w:before="280" w:after="80"/>
      </w:pPr>
      <w:r>
        <w:rPr>
          <w:b/>
          <w:color w:val="1A365D"/>
        </w:rPr>
        <w:t>7. 5-Week Implementation Timeline &amp; Milestones</w:t>
      </w:r>
    </w:p>
    <w:p>
      <w:r>
        <w:t>The project execution is mapped to the 5-week structure of the YuvaIntern Machine Learning Virtual Internship, with clearly demarcated tasks and tangible deliverables for each sprint:</w:t>
      </w:r>
    </w:p>
    <w:tbl>
      <w:tblPr>
        <w:tblW w:type="auto" w:w="0"/>
        <w:jc w:val="center"/>
        <w:tblLayout w:type="fixed"/>
        <w:tblLook w:firstColumn="1" w:firstRow="1" w:lastColumn="0" w:lastRow="0" w:noHBand="0" w:noVBand="1" w:val="04A0"/>
        <w:tblBorders>
          <w:top w:val="single" w:sz="4" w:space="0" w:color="CBD5E0"/>
          <w:left w:val="none"/>
          <w:bottom w:val="single" w:sz="8" w:space="0" w:color="1A365D"/>
          <w:right w:val="none"/>
          <w:insideH w:val="single" w:sz="4" w:space="0" w:color="E2E8F0"/>
          <w:insideV w:val="none"/>
        </w:tblBorders>
      </w:tblPr>
      <w:tblGrid>
        <w:gridCol w:w="2340"/>
        <w:gridCol w:w="2340"/>
        <w:gridCol w:w="2340"/>
        <w:gridCol w:w="2340"/>
      </w:tblGrid>
      <w:tr>
        <w:tc>
          <w:tcPr>
            <w:tcW w:type="dxa" w:w="1584"/>
            <w:shd w:fill="1A365D"/>
            <w:tcMar>
              <w:top w:w="120" w:type="dxa"/>
              <w:bottom w:w="120" w:type="dxa"/>
              <w:left w:w="140" w:type="dxa"/>
              <w:right w:w="140" w:type="dxa"/>
            </w:tcMar>
          </w:tcPr>
          <w:p>
            <w:pPr>
              <w:jc w:val="left"/>
            </w:pPr>
            <w:r>
              <w:rPr>
                <w:rFonts w:ascii="Calibri" w:hAnsi="Calibri"/>
                <w:b/>
                <w:color w:val="FFFFFF"/>
                <w:sz w:val="20"/>
              </w:rPr>
              <w:t>Timeline</w:t>
            </w:r>
          </w:p>
        </w:tc>
        <w:tc>
          <w:tcPr>
            <w:tcW w:type="dxa" w:w="2304"/>
            <w:shd w:fill="1A365D"/>
            <w:tcMar>
              <w:top w:w="120" w:type="dxa"/>
              <w:bottom w:w="120" w:type="dxa"/>
              <w:left w:w="140" w:type="dxa"/>
              <w:right w:w="140" w:type="dxa"/>
            </w:tcMar>
          </w:tcPr>
          <w:p>
            <w:pPr>
              <w:jc w:val="left"/>
            </w:pPr>
            <w:r>
              <w:rPr>
                <w:rFonts w:ascii="Calibri" w:hAnsi="Calibri"/>
                <w:b/>
                <w:color w:val="FFFFFF"/>
                <w:sz w:val="20"/>
              </w:rPr>
              <w:t>Sprint Focus</w:t>
            </w:r>
          </w:p>
        </w:tc>
        <w:tc>
          <w:tcPr>
            <w:tcW w:type="dxa" w:w="3312"/>
            <w:shd w:fill="1A365D"/>
            <w:tcMar>
              <w:top w:w="120" w:type="dxa"/>
              <w:bottom w:w="120" w:type="dxa"/>
              <w:left w:w="140" w:type="dxa"/>
              <w:right w:w="140" w:type="dxa"/>
            </w:tcMar>
          </w:tcPr>
          <w:p>
            <w:pPr>
              <w:jc w:val="left"/>
            </w:pPr>
            <w:r>
              <w:rPr>
                <w:rFonts w:ascii="Calibri" w:hAnsi="Calibri"/>
                <w:b/>
                <w:color w:val="FFFFFF"/>
                <w:sz w:val="20"/>
              </w:rPr>
              <w:t>Key Technical Tasks</w:t>
            </w:r>
          </w:p>
        </w:tc>
        <w:tc>
          <w:tcPr>
            <w:tcW w:type="dxa" w:w="2160"/>
            <w:shd w:fill="1A365D"/>
            <w:tcMar>
              <w:top w:w="120" w:type="dxa"/>
              <w:bottom w:w="120" w:type="dxa"/>
              <w:left w:w="140" w:type="dxa"/>
              <w:right w:w="140" w:type="dxa"/>
            </w:tcMar>
          </w:tcPr>
          <w:p>
            <w:pPr>
              <w:jc w:val="left"/>
            </w:pPr>
            <w:r>
              <w:rPr>
                <w:rFonts w:ascii="Calibri" w:hAnsi="Calibri"/>
                <w:b/>
                <w:color w:val="FFFFFF"/>
                <w:sz w:val="20"/>
              </w:rPr>
              <w:t>Expected Deliverables</w:t>
            </w:r>
          </w:p>
        </w:tc>
      </w:tr>
      <w:tr>
        <w:tc>
          <w:tcPr>
            <w:tcW w:type="dxa" w:w="1584"/>
            <w:shd w:fill="FFFFFF"/>
            <w:tcMar>
              <w:top w:w="80" w:type="dxa"/>
              <w:bottom w:w="80" w:type="dxa"/>
              <w:left w:w="140" w:type="dxa"/>
              <w:right w:w="140" w:type="dxa"/>
            </w:tcMar>
          </w:tcPr>
          <w:p>
            <w:pPr>
              <w:spacing w:line="276" w:lineRule="auto" w:after="40" w:before="40"/>
            </w:pPr>
            <w:r>
              <w:rPr>
                <w:rFonts w:ascii="Calibri" w:hAnsi="Calibri"/>
                <w:color w:val="2D3748"/>
                <w:sz w:val="19"/>
              </w:rPr>
              <w:t>Week 1</w:t>
              <w:br/>
              <w:t>(Current)</w:t>
            </w:r>
          </w:p>
        </w:tc>
        <w:tc>
          <w:tcPr>
            <w:tcW w:type="dxa" w:w="2304"/>
            <w:shd w:fill="FFFFFF"/>
            <w:tcMar>
              <w:top w:w="80" w:type="dxa"/>
              <w:bottom w:w="80" w:type="dxa"/>
              <w:left w:w="140" w:type="dxa"/>
              <w:right w:w="140" w:type="dxa"/>
            </w:tcMar>
          </w:tcPr>
          <w:p>
            <w:pPr>
              <w:spacing w:line="276" w:lineRule="auto" w:after="40" w:before="40"/>
            </w:pPr>
            <w:r>
              <w:rPr>
                <w:rFonts w:ascii="Calibri" w:hAnsi="Calibri"/>
                <w:color w:val="2D3748"/>
                <w:sz w:val="19"/>
              </w:rPr>
              <w:t>Project Planning &amp; Strategy Development</w:t>
            </w:r>
          </w:p>
        </w:tc>
        <w:tc>
          <w:tcPr>
            <w:tcW w:type="dxa" w:w="3312"/>
            <w:shd w:fill="FFFFFF"/>
            <w:tcMar>
              <w:top w:w="80" w:type="dxa"/>
              <w:bottom w:w="80" w:type="dxa"/>
              <w:left w:w="140" w:type="dxa"/>
              <w:right w:w="140" w:type="dxa"/>
            </w:tcMar>
          </w:tcPr>
          <w:p>
            <w:pPr>
              <w:spacing w:line="276" w:lineRule="auto" w:after="40" w:before="40"/>
            </w:pPr>
            <w:r>
              <w:rPr>
                <w:rFonts w:ascii="Calibri" w:hAnsi="Calibri"/>
                <w:color w:val="2D3748"/>
                <w:sz w:val="19"/>
              </w:rPr>
              <w:t>• Problem formulation &amp; business case analysis</w:t>
              <w:br/>
              <w:t>• Literature review &amp; architecture selection</w:t>
              <w:br/>
              <w:t>• GitHub repository structuring &amp; documentation</w:t>
              <w:br/>
              <w:t>• Risk assessment and evaluation framework design</w:t>
            </w:r>
          </w:p>
        </w:tc>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 Week 1 Project Plan Document (.DOCX)</w:t>
              <w:br/>
              <w:t>• Official GitHub Repository Setup</w:t>
              <w:br/>
              <w:t>• Portal submission &amp; progress summary</w:t>
            </w:r>
          </w:p>
        </w:tc>
      </w:tr>
      <w:tr>
        <w:tc>
          <w:tcPr>
            <w:tcW w:type="dxa" w:w="1584"/>
            <w:shd w:fill="F7FAFC"/>
            <w:tcMar>
              <w:top w:w="80" w:type="dxa"/>
              <w:bottom w:w="80" w:type="dxa"/>
              <w:left w:w="140" w:type="dxa"/>
              <w:right w:w="140" w:type="dxa"/>
            </w:tcMar>
          </w:tcPr>
          <w:p>
            <w:pPr>
              <w:spacing w:line="276" w:lineRule="auto" w:after="40" w:before="40"/>
            </w:pPr>
            <w:r>
              <w:rPr>
                <w:rFonts w:ascii="Calibri" w:hAnsi="Calibri"/>
                <w:color w:val="2D3748"/>
                <w:sz w:val="19"/>
              </w:rPr>
              <w:t>Week 2</w:t>
            </w:r>
          </w:p>
        </w:tc>
        <w:tc>
          <w:tcPr>
            <w:tcW w:type="dxa" w:w="2304"/>
            <w:shd w:fill="F7FAFC"/>
            <w:tcMar>
              <w:top w:w="80" w:type="dxa"/>
              <w:bottom w:w="80" w:type="dxa"/>
              <w:left w:w="140" w:type="dxa"/>
              <w:right w:w="140" w:type="dxa"/>
            </w:tcMar>
          </w:tcPr>
          <w:p>
            <w:pPr>
              <w:spacing w:line="276" w:lineRule="auto" w:after="40" w:before="40"/>
            </w:pPr>
            <w:r>
              <w:rPr>
                <w:rFonts w:ascii="Calibri" w:hAnsi="Calibri"/>
                <w:color w:val="2D3748"/>
                <w:sz w:val="19"/>
              </w:rPr>
              <w:t>Data Collection, Ingestion &amp; EDA</w:t>
            </w:r>
          </w:p>
        </w:tc>
        <w:tc>
          <w:tcPr>
            <w:tcW w:type="dxa" w:w="3312"/>
            <w:shd w:fill="F7FAFC"/>
            <w:tcMar>
              <w:top w:w="80" w:type="dxa"/>
              <w:bottom w:w="80" w:type="dxa"/>
              <w:left w:w="140" w:type="dxa"/>
              <w:right w:w="140" w:type="dxa"/>
            </w:tcMar>
          </w:tcPr>
          <w:p>
            <w:pPr>
              <w:spacing w:line="276" w:lineRule="auto" w:after="40" w:before="40"/>
            </w:pPr>
            <w:r>
              <w:rPr>
                <w:rFonts w:ascii="Calibri" w:hAnsi="Calibri"/>
                <w:color w:val="2D3748"/>
                <w:sz w:val="19"/>
              </w:rPr>
              <w:t>• Benchmark dataset acquisition (20k+ reviews)</w:t>
              <w:br/>
              <w:t>• Exploratory Data Analysis &amp; visual profiling</w:t>
              <w:br/>
              <w:t>• Text cleaning &amp; normalization pipeline development</w:t>
              <w:br/>
              <w:t>• Vocabulary analysis, n-grams &amp; class imbalance audit</w:t>
            </w:r>
          </w:p>
        </w:tc>
        <w:tc>
          <w:tcPr>
            <w:tcW w:type="dxa" w:w="2160"/>
            <w:shd w:fill="F7FAFC"/>
            <w:tcMar>
              <w:top w:w="80" w:type="dxa"/>
              <w:bottom w:w="80" w:type="dxa"/>
              <w:left w:w="140" w:type="dxa"/>
              <w:right w:w="140" w:type="dxa"/>
            </w:tcMar>
          </w:tcPr>
          <w:p>
            <w:pPr>
              <w:spacing w:line="276" w:lineRule="auto" w:after="40" w:before="40"/>
            </w:pPr>
            <w:r>
              <w:rPr>
                <w:rFonts w:ascii="Calibri" w:hAnsi="Calibri"/>
                <w:color w:val="2D3748"/>
                <w:sz w:val="19"/>
              </w:rPr>
              <w:t>• Jupyter Notebook (EDA &amp; Data Cleaning)</w:t>
              <w:br/>
              <w:t>• Curated Clean Dataset artifacts</w:t>
              <w:br/>
              <w:t>• Statistical Data Profile Summary</w:t>
            </w:r>
          </w:p>
        </w:tc>
      </w:tr>
      <w:tr>
        <w:tc>
          <w:tcPr>
            <w:tcW w:type="dxa" w:w="1584"/>
            <w:shd w:fill="FFFFFF"/>
            <w:tcMar>
              <w:top w:w="80" w:type="dxa"/>
              <w:bottom w:w="80" w:type="dxa"/>
              <w:left w:w="140" w:type="dxa"/>
              <w:right w:w="140" w:type="dxa"/>
            </w:tcMar>
          </w:tcPr>
          <w:p>
            <w:pPr>
              <w:spacing w:line="276" w:lineRule="auto" w:after="40" w:before="40"/>
            </w:pPr>
            <w:r>
              <w:rPr>
                <w:rFonts w:ascii="Calibri" w:hAnsi="Calibri"/>
                <w:color w:val="2D3748"/>
                <w:sz w:val="19"/>
              </w:rPr>
              <w:t>Week 3</w:t>
            </w:r>
          </w:p>
        </w:tc>
        <w:tc>
          <w:tcPr>
            <w:tcW w:type="dxa" w:w="2304"/>
            <w:shd w:fill="FFFFFF"/>
            <w:tcMar>
              <w:top w:w="80" w:type="dxa"/>
              <w:bottom w:w="80" w:type="dxa"/>
              <w:left w:w="140" w:type="dxa"/>
              <w:right w:w="140" w:type="dxa"/>
            </w:tcMar>
          </w:tcPr>
          <w:p>
            <w:pPr>
              <w:spacing w:line="276" w:lineRule="auto" w:after="40" w:before="40"/>
            </w:pPr>
            <w:r>
              <w:rPr>
                <w:rFonts w:ascii="Calibri" w:hAnsi="Calibri"/>
                <w:color w:val="2D3748"/>
                <w:sz w:val="19"/>
              </w:rPr>
              <w:t>Feature Engineering &amp; Baseline Modeling</w:t>
            </w:r>
          </w:p>
        </w:tc>
        <w:tc>
          <w:tcPr>
            <w:tcW w:type="dxa" w:w="3312"/>
            <w:shd w:fill="FFFFFF"/>
            <w:tcMar>
              <w:top w:w="80" w:type="dxa"/>
              <w:bottom w:w="80" w:type="dxa"/>
              <w:left w:w="140" w:type="dxa"/>
              <w:right w:w="140" w:type="dxa"/>
            </w:tcMar>
          </w:tcPr>
          <w:p>
            <w:pPr>
              <w:spacing w:line="276" w:lineRule="auto" w:after="40" w:before="40"/>
            </w:pPr>
            <w:r>
              <w:rPr>
                <w:rFonts w:ascii="Calibri" w:hAnsi="Calibri"/>
                <w:color w:val="2D3748"/>
                <w:sz w:val="19"/>
              </w:rPr>
              <w:t>• TF-IDF feature extraction (n-gram vectorization)</w:t>
              <w:br/>
              <w:t>• Word embeddings &amp; lexical polarity scoring</w:t>
              <w:br/>
              <w:t>• Baseline classification (Naive Bayes, Logistic Regression, LinearSVC)</w:t>
              <w:br/>
              <w:t>• Initial benchmark performance reporting</w:t>
            </w:r>
          </w:p>
        </w:tc>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 Feature extraction module (Python src)</w:t>
              <w:br/>
              <w:t>• Model comparison benchmark table</w:t>
              <w:br/>
              <w:t>• Baseline evaluation report</w:t>
            </w:r>
          </w:p>
        </w:tc>
      </w:tr>
      <w:tr>
        <w:tc>
          <w:tcPr>
            <w:tcW w:type="dxa" w:w="1584"/>
            <w:shd w:fill="F7FAFC"/>
            <w:tcMar>
              <w:top w:w="80" w:type="dxa"/>
              <w:bottom w:w="80" w:type="dxa"/>
              <w:left w:w="140" w:type="dxa"/>
              <w:right w:w="140" w:type="dxa"/>
            </w:tcMar>
          </w:tcPr>
          <w:p>
            <w:pPr>
              <w:spacing w:line="276" w:lineRule="auto" w:after="40" w:before="40"/>
            </w:pPr>
            <w:r>
              <w:rPr>
                <w:rFonts w:ascii="Calibri" w:hAnsi="Calibri"/>
                <w:color w:val="2D3748"/>
                <w:sz w:val="19"/>
              </w:rPr>
              <w:t>Week 4</w:t>
            </w:r>
          </w:p>
        </w:tc>
        <w:tc>
          <w:tcPr>
            <w:tcW w:type="dxa" w:w="2304"/>
            <w:shd w:fill="F7FAFC"/>
            <w:tcMar>
              <w:top w:w="80" w:type="dxa"/>
              <w:bottom w:w="80" w:type="dxa"/>
              <w:left w:w="140" w:type="dxa"/>
              <w:right w:w="140" w:type="dxa"/>
            </w:tcMar>
          </w:tcPr>
          <w:p>
            <w:pPr>
              <w:spacing w:line="276" w:lineRule="auto" w:after="40" w:before="40"/>
            </w:pPr>
            <w:r>
              <w:rPr>
                <w:rFonts w:ascii="Calibri" w:hAnsi="Calibri"/>
                <w:color w:val="2D3748"/>
                <w:sz w:val="19"/>
              </w:rPr>
              <w:t>Model Tuning, Deep Learning &amp; Optimization</w:t>
            </w:r>
          </w:p>
        </w:tc>
        <w:tc>
          <w:tcPr>
            <w:tcW w:type="dxa" w:w="3312"/>
            <w:shd w:fill="F7FAFC"/>
            <w:tcMar>
              <w:top w:w="80" w:type="dxa"/>
              <w:bottom w:w="80" w:type="dxa"/>
              <w:left w:w="140" w:type="dxa"/>
              <w:right w:w="140" w:type="dxa"/>
            </w:tcMar>
          </w:tcPr>
          <w:p>
            <w:pPr>
              <w:spacing w:line="276" w:lineRule="auto" w:after="40" w:before="40"/>
            </w:pPr>
            <w:r>
              <w:rPr>
                <w:rFonts w:ascii="Calibri" w:hAnsi="Calibri"/>
                <w:color w:val="2D3748"/>
                <w:sz w:val="19"/>
              </w:rPr>
              <w:t>• Hyperparameter optimization via GridSearchCV</w:t>
              <w:br/>
              <w:t>• Deep Learning exploration (DistilBERT fine-tuning)</w:t>
              <w:br/>
              <w:t>• Error analysis on misclassified instances &amp; edge cases</w:t>
              <w:br/>
              <w:t>• Threshold calibration and model persistence</w:t>
            </w:r>
          </w:p>
        </w:tc>
        <w:tc>
          <w:tcPr>
            <w:tcW w:type="dxa" w:w="2160"/>
            <w:shd w:fill="F7FAFC"/>
            <w:tcMar>
              <w:top w:w="80" w:type="dxa"/>
              <w:bottom w:w="80" w:type="dxa"/>
              <w:left w:w="140" w:type="dxa"/>
              <w:right w:w="140" w:type="dxa"/>
            </w:tcMar>
          </w:tcPr>
          <w:p>
            <w:pPr>
              <w:spacing w:line="276" w:lineRule="auto" w:after="40" w:before="40"/>
            </w:pPr>
            <w:r>
              <w:rPr>
                <w:rFonts w:ascii="Calibri" w:hAnsi="Calibri"/>
                <w:color w:val="2D3748"/>
                <w:sz w:val="19"/>
              </w:rPr>
              <w:t>• Finalized Model Artifacts (.joblib / .pt)</w:t>
              <w:br/>
              <w:t>• Confusion matrices &amp; ROC curves</w:t>
              <w:br/>
              <w:t>• In-depth Model Evaluation Report</w:t>
            </w:r>
          </w:p>
        </w:tc>
      </w:tr>
      <w:tr>
        <w:tc>
          <w:tcPr>
            <w:tcW w:type="dxa" w:w="1584"/>
            <w:shd w:fill="FFFFFF"/>
            <w:tcMar>
              <w:top w:w="80" w:type="dxa"/>
              <w:bottom w:w="80" w:type="dxa"/>
              <w:left w:w="140" w:type="dxa"/>
              <w:right w:w="140" w:type="dxa"/>
            </w:tcMar>
          </w:tcPr>
          <w:p>
            <w:pPr>
              <w:spacing w:line="276" w:lineRule="auto" w:after="40" w:before="40"/>
            </w:pPr>
            <w:r>
              <w:rPr>
                <w:rFonts w:ascii="Calibri" w:hAnsi="Calibri"/>
                <w:color w:val="2D3748"/>
                <w:sz w:val="19"/>
              </w:rPr>
              <w:t>Week 5</w:t>
            </w:r>
          </w:p>
        </w:tc>
        <w:tc>
          <w:tcPr>
            <w:tcW w:type="dxa" w:w="2304"/>
            <w:shd w:fill="FFFFFF"/>
            <w:tcMar>
              <w:top w:w="80" w:type="dxa"/>
              <w:bottom w:w="80" w:type="dxa"/>
              <w:left w:w="140" w:type="dxa"/>
              <w:right w:w="140" w:type="dxa"/>
            </w:tcMar>
          </w:tcPr>
          <w:p>
            <w:pPr>
              <w:spacing w:line="276" w:lineRule="auto" w:after="40" w:before="40"/>
            </w:pPr>
            <w:r>
              <w:rPr>
                <w:rFonts w:ascii="Calibri" w:hAnsi="Calibri"/>
                <w:color w:val="2D3748"/>
                <w:sz w:val="19"/>
              </w:rPr>
              <w:t>Packaging, Deployment &amp; Final Showcase</w:t>
            </w:r>
          </w:p>
        </w:tc>
        <w:tc>
          <w:tcPr>
            <w:tcW w:type="dxa" w:w="3312"/>
            <w:shd w:fill="FFFFFF"/>
            <w:tcMar>
              <w:top w:w="80" w:type="dxa"/>
              <w:bottom w:w="80" w:type="dxa"/>
              <w:left w:w="140" w:type="dxa"/>
              <w:right w:w="140" w:type="dxa"/>
            </w:tcMar>
          </w:tcPr>
          <w:p>
            <w:pPr>
              <w:spacing w:line="276" w:lineRule="auto" w:after="40" w:before="40"/>
            </w:pPr>
            <w:r>
              <w:rPr>
                <w:rFonts w:ascii="Calibri" w:hAnsi="Calibri"/>
                <w:color w:val="2D3748"/>
                <w:sz w:val="19"/>
              </w:rPr>
              <w:t>• Inference API &amp; Streamlit web application build</w:t>
              <w:br/>
              <w:t>• End-to-end testing with unseen customer text</w:t>
              <w:br/>
              <w:t>• Comprehensive final project documentation &amp; video demo</w:t>
              <w:br/>
              <w:t>• Final internship report submission</w:t>
            </w:r>
          </w:p>
        </w:tc>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 Working Web Application (Streamlit)</w:t>
              <w:br/>
              <w:t>• Complete GitHub codebase with CI/Docs</w:t>
              <w:br/>
              <w:t>• Final Internship Completion Report</w:t>
            </w:r>
          </w:p>
        </w:tc>
      </w:tr>
    </w:tbl>
    <w:p>
      <w:pPr>
        <w:spacing w:after="120"/>
      </w:pPr>
    </w:p>
    <w:p>
      <w:pPr>
        <w:pStyle w:val="Heading1"/>
        <w:spacing w:before="280" w:after="80"/>
      </w:pPr>
      <w:r>
        <w:rPr>
          <w:b/>
          <w:color w:val="1A365D"/>
        </w:rPr>
        <w:t>8. Comprehensive Risk Assessment &amp; Mitigation Plan</w:t>
      </w:r>
    </w:p>
    <w:p>
      <w:r>
        <w:t>A rigorous risk assessment was conducted to anticipate technical, statistical, and infrastructural bottlenecks. The risk matrix below outlines each identified vulnerability, its severity profile, and the active contingency plan:</w:t>
      </w:r>
    </w:p>
    <w:tbl>
      <w:tblPr>
        <w:tblW w:type="auto" w:w="0"/>
        <w:jc w:val="center"/>
        <w:tblLayout w:type="fixed"/>
        <w:tblLook w:firstColumn="1" w:firstRow="1" w:lastColumn="0" w:lastRow="0" w:noHBand="0" w:noVBand="1" w:val="04A0"/>
        <w:tblBorders>
          <w:top w:val="single" w:sz="4" w:space="0" w:color="CBD5E0"/>
          <w:left w:val="none"/>
          <w:bottom w:val="single" w:sz="8" w:space="0" w:color="1A365D"/>
          <w:right w:val="none"/>
          <w:insideH w:val="single" w:sz="4" w:space="0" w:color="E2E8F0"/>
          <w:insideV w:val="none"/>
        </w:tblBorders>
      </w:tblPr>
      <w:tblGrid>
        <w:gridCol w:w="1872"/>
        <w:gridCol w:w="1872"/>
        <w:gridCol w:w="1872"/>
        <w:gridCol w:w="1872"/>
        <w:gridCol w:w="1872"/>
      </w:tblGrid>
      <w:tr>
        <w:tc>
          <w:tcPr>
            <w:tcW w:type="dxa" w:w="2016"/>
            <w:shd w:fill="1A365D"/>
            <w:tcMar>
              <w:top w:w="120" w:type="dxa"/>
              <w:bottom w:w="120" w:type="dxa"/>
              <w:left w:w="140" w:type="dxa"/>
              <w:right w:w="140" w:type="dxa"/>
            </w:tcMar>
          </w:tcPr>
          <w:p>
            <w:pPr>
              <w:jc w:val="left"/>
            </w:pPr>
            <w:r>
              <w:rPr>
                <w:rFonts w:ascii="Calibri" w:hAnsi="Calibri"/>
                <w:b/>
                <w:color w:val="FFFFFF"/>
                <w:sz w:val="20"/>
              </w:rPr>
              <w:t>Risk Factor</w:t>
            </w:r>
          </w:p>
        </w:tc>
        <w:tc>
          <w:tcPr>
            <w:tcW w:type="dxa" w:w="1296"/>
            <w:shd w:fill="1A365D"/>
            <w:tcMar>
              <w:top w:w="120" w:type="dxa"/>
              <w:bottom w:w="120" w:type="dxa"/>
              <w:left w:w="140" w:type="dxa"/>
              <w:right w:w="140" w:type="dxa"/>
            </w:tcMar>
          </w:tcPr>
          <w:p>
            <w:pPr>
              <w:jc w:val="left"/>
            </w:pPr>
            <w:r>
              <w:rPr>
                <w:rFonts w:ascii="Calibri" w:hAnsi="Calibri"/>
                <w:b/>
                <w:color w:val="FFFFFF"/>
                <w:sz w:val="20"/>
              </w:rPr>
              <w:t>Likelihood</w:t>
            </w:r>
          </w:p>
        </w:tc>
        <w:tc>
          <w:tcPr>
            <w:tcW w:type="dxa" w:w="1152"/>
            <w:shd w:fill="1A365D"/>
            <w:tcMar>
              <w:top w:w="120" w:type="dxa"/>
              <w:bottom w:w="120" w:type="dxa"/>
              <w:left w:w="140" w:type="dxa"/>
              <w:right w:w="140" w:type="dxa"/>
            </w:tcMar>
          </w:tcPr>
          <w:p>
            <w:pPr>
              <w:jc w:val="left"/>
            </w:pPr>
            <w:r>
              <w:rPr>
                <w:rFonts w:ascii="Calibri" w:hAnsi="Calibri"/>
                <w:b/>
                <w:color w:val="FFFFFF"/>
                <w:sz w:val="20"/>
              </w:rPr>
              <w:t>Impact</w:t>
            </w:r>
          </w:p>
        </w:tc>
        <w:tc>
          <w:tcPr>
            <w:tcW w:type="dxa" w:w="1296"/>
            <w:shd w:fill="1A365D"/>
            <w:tcMar>
              <w:top w:w="120" w:type="dxa"/>
              <w:bottom w:w="120" w:type="dxa"/>
              <w:left w:w="140" w:type="dxa"/>
              <w:right w:w="140" w:type="dxa"/>
            </w:tcMar>
          </w:tcPr>
          <w:p>
            <w:pPr>
              <w:jc w:val="left"/>
            </w:pPr>
            <w:r>
              <w:rPr>
                <w:rFonts w:ascii="Calibri" w:hAnsi="Calibri"/>
                <w:b/>
                <w:color w:val="FFFFFF"/>
                <w:sz w:val="20"/>
              </w:rPr>
              <w:t>Risk Severity</w:t>
            </w:r>
          </w:p>
        </w:tc>
        <w:tc>
          <w:tcPr>
            <w:tcW w:type="dxa" w:w="3600"/>
            <w:shd w:fill="1A365D"/>
            <w:tcMar>
              <w:top w:w="120" w:type="dxa"/>
              <w:bottom w:w="120" w:type="dxa"/>
              <w:left w:w="140" w:type="dxa"/>
              <w:right w:w="140" w:type="dxa"/>
            </w:tcMar>
          </w:tcPr>
          <w:p>
            <w:pPr>
              <w:jc w:val="left"/>
            </w:pPr>
            <w:r>
              <w:rPr>
                <w:rFonts w:ascii="Calibri" w:hAnsi="Calibri"/>
                <w:b/>
                <w:color w:val="FFFFFF"/>
                <w:sz w:val="20"/>
              </w:rPr>
              <w:t>Proactive Mitigation Strategy</w:t>
            </w:r>
          </w:p>
        </w:tc>
      </w:tr>
      <w:tr>
        <w:tc>
          <w:tcPr>
            <w:tcW w:type="dxa" w:w="2016"/>
            <w:shd w:fill="FFFFFF"/>
            <w:tcMar>
              <w:top w:w="80" w:type="dxa"/>
              <w:bottom w:w="80" w:type="dxa"/>
              <w:left w:w="140" w:type="dxa"/>
              <w:right w:w="140" w:type="dxa"/>
            </w:tcMar>
          </w:tcPr>
          <w:p>
            <w:pPr>
              <w:spacing w:line="276" w:lineRule="auto" w:after="40" w:before="40"/>
            </w:pPr>
            <w:r>
              <w:rPr>
                <w:rFonts w:ascii="Calibri" w:hAnsi="Calibri"/>
                <w:color w:val="2D3748"/>
                <w:sz w:val="19"/>
              </w:rPr>
              <w:t>Severe Class Imbalance</w:t>
            </w:r>
          </w:p>
        </w:tc>
        <w:tc>
          <w:tcPr>
            <w:tcW w:type="dxa" w:w="1296"/>
            <w:shd w:fill="FFFFFF"/>
            <w:tcMar>
              <w:top w:w="80" w:type="dxa"/>
              <w:bottom w:w="80" w:type="dxa"/>
              <w:left w:w="140" w:type="dxa"/>
              <w:right w:w="140" w:type="dxa"/>
            </w:tcMar>
          </w:tcPr>
          <w:p>
            <w:pPr>
              <w:spacing w:line="276" w:lineRule="auto" w:after="40" w:before="40"/>
            </w:pPr>
            <w:r>
              <w:rPr>
                <w:rFonts w:ascii="Calibri" w:hAnsi="Calibri"/>
                <w:color w:val="2D3748"/>
                <w:sz w:val="19"/>
              </w:rPr>
              <w:t>High</w:t>
            </w:r>
          </w:p>
        </w:tc>
        <w:tc>
          <w:tcPr>
            <w:tcW w:type="dxa" w:w="1152"/>
            <w:shd w:fill="FFFFFF"/>
            <w:tcMar>
              <w:top w:w="80" w:type="dxa"/>
              <w:bottom w:w="80" w:type="dxa"/>
              <w:left w:w="140" w:type="dxa"/>
              <w:right w:w="140" w:type="dxa"/>
            </w:tcMar>
          </w:tcPr>
          <w:p>
            <w:pPr>
              <w:spacing w:line="276" w:lineRule="auto" w:after="40" w:before="40"/>
            </w:pPr>
            <w:r>
              <w:rPr>
                <w:rFonts w:ascii="Calibri" w:hAnsi="Calibri"/>
                <w:color w:val="2D3748"/>
                <w:sz w:val="19"/>
              </w:rPr>
              <w:t>High</w:t>
            </w:r>
          </w:p>
        </w:tc>
        <w:tc>
          <w:tcPr>
            <w:tcW w:type="dxa" w:w="1296"/>
            <w:shd w:fill="FFFFFF"/>
            <w:tcMar>
              <w:top w:w="80" w:type="dxa"/>
              <w:bottom w:w="80" w:type="dxa"/>
              <w:left w:w="140" w:type="dxa"/>
              <w:right w:w="140" w:type="dxa"/>
            </w:tcMar>
          </w:tcPr>
          <w:p>
            <w:pPr>
              <w:spacing w:line="276" w:lineRule="auto" w:after="40" w:before="40"/>
            </w:pPr>
            <w:r>
              <w:rPr>
                <w:rFonts w:ascii="Calibri" w:hAnsi="Calibri"/>
                <w:color w:val="2D3748"/>
                <w:sz w:val="19"/>
              </w:rPr>
              <w:t>Critical</w:t>
            </w:r>
          </w:p>
        </w:tc>
        <w:tc>
          <w:tcPr>
            <w:tcW w:type="dxa" w:w="3600"/>
            <w:shd w:fill="FFFFFF"/>
            <w:tcMar>
              <w:top w:w="80" w:type="dxa"/>
              <w:bottom w:w="80" w:type="dxa"/>
              <w:left w:w="140" w:type="dxa"/>
              <w:right w:w="140" w:type="dxa"/>
            </w:tcMar>
          </w:tcPr>
          <w:p>
            <w:pPr>
              <w:spacing w:line="276" w:lineRule="auto" w:after="40" w:before="40"/>
            </w:pPr>
            <w:r>
              <w:rPr>
                <w:rFonts w:ascii="Calibri" w:hAnsi="Calibri"/>
                <w:color w:val="2D3748"/>
                <w:sz w:val="19"/>
              </w:rPr>
              <w:t>Adopt class-weighted loss functions (e.g., class_weight='balanced' in Scikit-Learn), SMOTE / text data augmentation (EDA techniques), and evaluate on Macro F1 rather than Accuracy.</w:t>
            </w:r>
          </w:p>
        </w:tc>
      </w:tr>
      <w:tr>
        <w:tc>
          <w:tcPr>
            <w:tcW w:type="dxa" w:w="2016"/>
            <w:shd w:fill="F7FAFC"/>
            <w:tcMar>
              <w:top w:w="80" w:type="dxa"/>
              <w:bottom w:w="80" w:type="dxa"/>
              <w:left w:w="140" w:type="dxa"/>
              <w:right w:w="140" w:type="dxa"/>
            </w:tcMar>
          </w:tcPr>
          <w:p>
            <w:pPr>
              <w:spacing w:line="276" w:lineRule="auto" w:after="40" w:before="40"/>
            </w:pPr>
            <w:r>
              <w:rPr>
                <w:rFonts w:ascii="Calibri" w:hAnsi="Calibri"/>
                <w:color w:val="2D3748"/>
                <w:sz w:val="19"/>
              </w:rPr>
              <w:t>Linguistic Ambiguity &amp; Sarcasm</w:t>
            </w:r>
          </w:p>
        </w:tc>
        <w:tc>
          <w:tcPr>
            <w:tcW w:type="dxa" w:w="1296"/>
            <w:shd w:fill="F7FAFC"/>
            <w:tcMar>
              <w:top w:w="80" w:type="dxa"/>
              <w:bottom w:w="80" w:type="dxa"/>
              <w:left w:w="140" w:type="dxa"/>
              <w:right w:w="140" w:type="dxa"/>
            </w:tcMar>
          </w:tcPr>
          <w:p>
            <w:pPr>
              <w:spacing w:line="276" w:lineRule="auto" w:after="40" w:before="40"/>
            </w:pPr>
            <w:r>
              <w:rPr>
                <w:rFonts w:ascii="Calibri" w:hAnsi="Calibri"/>
                <w:color w:val="2D3748"/>
                <w:sz w:val="19"/>
              </w:rPr>
              <w:t>Medium</w:t>
            </w:r>
          </w:p>
        </w:tc>
        <w:tc>
          <w:tcPr>
            <w:tcW w:type="dxa" w:w="1152"/>
            <w:shd w:fill="F7FAFC"/>
            <w:tcMar>
              <w:top w:w="80" w:type="dxa"/>
              <w:bottom w:w="80" w:type="dxa"/>
              <w:left w:w="140" w:type="dxa"/>
              <w:right w:w="140" w:type="dxa"/>
            </w:tcMar>
          </w:tcPr>
          <w:p>
            <w:pPr>
              <w:spacing w:line="276" w:lineRule="auto" w:after="40" w:before="40"/>
            </w:pPr>
            <w:r>
              <w:rPr>
                <w:rFonts w:ascii="Calibri" w:hAnsi="Calibri"/>
                <w:color w:val="2D3748"/>
                <w:sz w:val="19"/>
              </w:rPr>
              <w:t>Medium</w:t>
            </w:r>
          </w:p>
        </w:tc>
        <w:tc>
          <w:tcPr>
            <w:tcW w:type="dxa" w:w="1296"/>
            <w:shd w:fill="F7FAFC"/>
            <w:tcMar>
              <w:top w:w="80" w:type="dxa"/>
              <w:bottom w:w="80" w:type="dxa"/>
              <w:left w:w="140" w:type="dxa"/>
              <w:right w:w="140" w:type="dxa"/>
            </w:tcMar>
          </w:tcPr>
          <w:p>
            <w:pPr>
              <w:spacing w:line="276" w:lineRule="auto" w:after="40" w:before="40"/>
            </w:pPr>
            <w:r>
              <w:rPr>
                <w:rFonts w:ascii="Calibri" w:hAnsi="Calibri"/>
                <w:color w:val="2D3748"/>
                <w:sz w:val="19"/>
              </w:rPr>
              <w:t>Moderate</w:t>
            </w:r>
          </w:p>
        </w:tc>
        <w:tc>
          <w:tcPr>
            <w:tcW w:type="dxa" w:w="3600"/>
            <w:shd w:fill="F7FAFC"/>
            <w:tcMar>
              <w:top w:w="80" w:type="dxa"/>
              <w:bottom w:w="80" w:type="dxa"/>
              <w:left w:w="140" w:type="dxa"/>
              <w:right w:w="140" w:type="dxa"/>
            </w:tcMar>
          </w:tcPr>
          <w:p>
            <w:pPr>
              <w:spacing w:line="276" w:lineRule="auto" w:after="40" w:before="40"/>
            </w:pPr>
            <w:r>
              <w:rPr>
                <w:rFonts w:ascii="Calibri" w:hAnsi="Calibri"/>
                <w:color w:val="2D3748"/>
                <w:sz w:val="19"/>
              </w:rPr>
              <w:t>Incorporate bi-gram and tri-gram n-grams to preserve negation tokens. Integrate transformer attention (DistilBERT) which captures bidirectional context.</w:t>
            </w:r>
          </w:p>
        </w:tc>
      </w:tr>
      <w:tr>
        <w:tc>
          <w:tcPr>
            <w:tcW w:type="dxa" w:w="2016"/>
            <w:shd w:fill="FFFFFF"/>
            <w:tcMar>
              <w:top w:w="80" w:type="dxa"/>
              <w:bottom w:w="80" w:type="dxa"/>
              <w:left w:w="140" w:type="dxa"/>
              <w:right w:w="140" w:type="dxa"/>
            </w:tcMar>
          </w:tcPr>
          <w:p>
            <w:pPr>
              <w:spacing w:line="276" w:lineRule="auto" w:after="40" w:before="40"/>
            </w:pPr>
            <w:r>
              <w:rPr>
                <w:rFonts w:ascii="Calibri" w:hAnsi="Calibri"/>
                <w:color w:val="2D3748"/>
                <w:sz w:val="19"/>
              </w:rPr>
              <w:t>Overfitting on Domain Lexicons</w:t>
            </w:r>
          </w:p>
        </w:tc>
        <w:tc>
          <w:tcPr>
            <w:tcW w:type="dxa" w:w="1296"/>
            <w:shd w:fill="FFFFFF"/>
            <w:tcMar>
              <w:top w:w="80" w:type="dxa"/>
              <w:bottom w:w="80" w:type="dxa"/>
              <w:left w:w="140" w:type="dxa"/>
              <w:right w:w="140" w:type="dxa"/>
            </w:tcMar>
          </w:tcPr>
          <w:p>
            <w:pPr>
              <w:spacing w:line="276" w:lineRule="auto" w:after="40" w:before="40"/>
            </w:pPr>
            <w:r>
              <w:rPr>
                <w:rFonts w:ascii="Calibri" w:hAnsi="Calibri"/>
                <w:color w:val="2D3748"/>
                <w:sz w:val="19"/>
              </w:rPr>
              <w:t>Medium</w:t>
            </w:r>
          </w:p>
        </w:tc>
        <w:tc>
          <w:tcPr>
            <w:tcW w:type="dxa" w:w="1152"/>
            <w:shd w:fill="FFFFFF"/>
            <w:tcMar>
              <w:top w:w="80" w:type="dxa"/>
              <w:bottom w:w="80" w:type="dxa"/>
              <w:left w:w="140" w:type="dxa"/>
              <w:right w:w="140" w:type="dxa"/>
            </w:tcMar>
          </w:tcPr>
          <w:p>
            <w:pPr>
              <w:spacing w:line="276" w:lineRule="auto" w:after="40" w:before="40"/>
            </w:pPr>
            <w:r>
              <w:rPr>
                <w:rFonts w:ascii="Calibri" w:hAnsi="Calibri"/>
                <w:color w:val="2D3748"/>
                <w:sz w:val="19"/>
              </w:rPr>
              <w:t>High</w:t>
            </w:r>
          </w:p>
        </w:tc>
        <w:tc>
          <w:tcPr>
            <w:tcW w:type="dxa" w:w="1296"/>
            <w:shd w:fill="FFFFFF"/>
            <w:tcMar>
              <w:top w:w="80" w:type="dxa"/>
              <w:bottom w:w="80" w:type="dxa"/>
              <w:left w:w="140" w:type="dxa"/>
              <w:right w:w="140" w:type="dxa"/>
            </w:tcMar>
          </w:tcPr>
          <w:p>
            <w:pPr>
              <w:spacing w:line="276" w:lineRule="auto" w:after="40" w:before="40"/>
            </w:pPr>
            <w:r>
              <w:rPr>
                <w:rFonts w:ascii="Calibri" w:hAnsi="Calibri"/>
                <w:color w:val="2D3748"/>
                <w:sz w:val="19"/>
              </w:rPr>
              <w:t>High</w:t>
            </w:r>
          </w:p>
        </w:tc>
        <w:tc>
          <w:tcPr>
            <w:tcW w:type="dxa" w:w="3600"/>
            <w:shd w:fill="FFFFFF"/>
            <w:tcMar>
              <w:top w:w="80" w:type="dxa"/>
              <w:bottom w:w="80" w:type="dxa"/>
              <w:left w:w="140" w:type="dxa"/>
              <w:right w:w="140" w:type="dxa"/>
            </w:tcMar>
          </w:tcPr>
          <w:p>
            <w:pPr>
              <w:spacing w:line="276" w:lineRule="auto" w:after="40" w:before="40"/>
            </w:pPr>
            <w:r>
              <w:rPr>
                <w:rFonts w:ascii="Calibri" w:hAnsi="Calibri"/>
                <w:color w:val="2D3748"/>
                <w:sz w:val="19"/>
              </w:rPr>
              <w:t>Apply L1/L2 regularization on linear models; prune rare words (min_df=5) and domain-specific stopwords; validate using Stratified 5-Fold Cross Validation.</w:t>
            </w:r>
          </w:p>
        </w:tc>
      </w:tr>
      <w:tr>
        <w:tc>
          <w:tcPr>
            <w:tcW w:type="dxa" w:w="2016"/>
            <w:shd w:fill="F7FAFC"/>
            <w:tcMar>
              <w:top w:w="80" w:type="dxa"/>
              <w:bottom w:w="80" w:type="dxa"/>
              <w:left w:w="140" w:type="dxa"/>
              <w:right w:w="140" w:type="dxa"/>
            </w:tcMar>
          </w:tcPr>
          <w:p>
            <w:pPr>
              <w:spacing w:line="276" w:lineRule="auto" w:after="40" w:before="40"/>
            </w:pPr>
            <w:r>
              <w:rPr>
                <w:rFonts w:ascii="Calibri" w:hAnsi="Calibri"/>
                <w:color w:val="2D3748"/>
                <w:sz w:val="19"/>
              </w:rPr>
              <w:t>Compute Constraints for Transformers</w:t>
            </w:r>
          </w:p>
        </w:tc>
        <w:tc>
          <w:tcPr>
            <w:tcW w:type="dxa" w:w="1296"/>
            <w:shd w:fill="F7FAFC"/>
            <w:tcMar>
              <w:top w:w="80" w:type="dxa"/>
              <w:bottom w:w="80" w:type="dxa"/>
              <w:left w:w="140" w:type="dxa"/>
              <w:right w:w="140" w:type="dxa"/>
            </w:tcMar>
          </w:tcPr>
          <w:p>
            <w:pPr>
              <w:spacing w:line="276" w:lineRule="auto" w:after="40" w:before="40"/>
            </w:pPr>
            <w:r>
              <w:rPr>
                <w:rFonts w:ascii="Calibri" w:hAnsi="Calibri"/>
                <w:color w:val="2D3748"/>
                <w:sz w:val="19"/>
              </w:rPr>
              <w:t>High</w:t>
            </w:r>
          </w:p>
        </w:tc>
        <w:tc>
          <w:tcPr>
            <w:tcW w:type="dxa" w:w="1152"/>
            <w:shd w:fill="F7FAFC"/>
            <w:tcMar>
              <w:top w:w="80" w:type="dxa"/>
              <w:bottom w:w="80" w:type="dxa"/>
              <w:left w:w="140" w:type="dxa"/>
              <w:right w:w="140" w:type="dxa"/>
            </w:tcMar>
          </w:tcPr>
          <w:p>
            <w:pPr>
              <w:spacing w:line="276" w:lineRule="auto" w:after="40" w:before="40"/>
            </w:pPr>
            <w:r>
              <w:rPr>
                <w:rFonts w:ascii="Calibri" w:hAnsi="Calibri"/>
                <w:color w:val="2D3748"/>
                <w:sz w:val="19"/>
              </w:rPr>
              <w:t>Low</w:t>
            </w:r>
          </w:p>
        </w:tc>
        <w:tc>
          <w:tcPr>
            <w:tcW w:type="dxa" w:w="1296"/>
            <w:shd w:fill="F7FAFC"/>
            <w:tcMar>
              <w:top w:w="80" w:type="dxa"/>
              <w:bottom w:w="80" w:type="dxa"/>
              <w:left w:w="140" w:type="dxa"/>
              <w:right w:w="140" w:type="dxa"/>
            </w:tcMar>
          </w:tcPr>
          <w:p>
            <w:pPr>
              <w:spacing w:line="276" w:lineRule="auto" w:after="40" w:before="40"/>
            </w:pPr>
            <w:r>
              <w:rPr>
                <w:rFonts w:ascii="Calibri" w:hAnsi="Calibri"/>
                <w:color w:val="2D3748"/>
                <w:sz w:val="19"/>
              </w:rPr>
              <w:t>Moderate</w:t>
            </w:r>
          </w:p>
        </w:tc>
        <w:tc>
          <w:tcPr>
            <w:tcW w:type="dxa" w:w="3600"/>
            <w:shd w:fill="F7FAFC"/>
            <w:tcMar>
              <w:top w:w="80" w:type="dxa"/>
              <w:bottom w:w="80" w:type="dxa"/>
              <w:left w:w="140" w:type="dxa"/>
              <w:right w:w="140" w:type="dxa"/>
            </w:tcMar>
          </w:tcPr>
          <w:p>
            <w:pPr>
              <w:spacing w:line="276" w:lineRule="auto" w:after="40" w:before="40"/>
            </w:pPr>
            <w:r>
              <w:rPr>
                <w:rFonts w:ascii="Calibri" w:hAnsi="Calibri"/>
                <w:color w:val="2D3748"/>
                <w:sz w:val="19"/>
              </w:rPr>
              <w:t>Use quantized / distilled architectures (DistilBERT or MobileBERT) instead of full-size BERT. Leverage cloud GPU (Google Colab / Kaggle T4) for fine-tuning.</w:t>
            </w:r>
          </w:p>
        </w:tc>
      </w:tr>
      <w:tr>
        <w:tc>
          <w:tcPr>
            <w:tcW w:type="dxa" w:w="2016"/>
            <w:shd w:fill="FFFFFF"/>
            <w:tcMar>
              <w:top w:w="80" w:type="dxa"/>
              <w:bottom w:w="80" w:type="dxa"/>
              <w:left w:w="140" w:type="dxa"/>
              <w:right w:w="140" w:type="dxa"/>
            </w:tcMar>
          </w:tcPr>
          <w:p>
            <w:pPr>
              <w:spacing w:line="276" w:lineRule="auto" w:after="40" w:before="40"/>
            </w:pPr>
            <w:r>
              <w:rPr>
                <w:rFonts w:ascii="Calibri" w:hAnsi="Calibri"/>
                <w:color w:val="2D3748"/>
                <w:sz w:val="19"/>
              </w:rPr>
              <w:t>Timeline Slippage Across Sprints</w:t>
            </w:r>
          </w:p>
        </w:tc>
        <w:tc>
          <w:tcPr>
            <w:tcW w:type="dxa" w:w="1296"/>
            <w:shd w:fill="FFFFFF"/>
            <w:tcMar>
              <w:top w:w="80" w:type="dxa"/>
              <w:bottom w:w="80" w:type="dxa"/>
              <w:left w:w="140" w:type="dxa"/>
              <w:right w:w="140" w:type="dxa"/>
            </w:tcMar>
          </w:tcPr>
          <w:p>
            <w:pPr>
              <w:spacing w:line="276" w:lineRule="auto" w:after="40" w:before="40"/>
            </w:pPr>
            <w:r>
              <w:rPr>
                <w:rFonts w:ascii="Calibri" w:hAnsi="Calibri"/>
                <w:color w:val="2D3748"/>
                <w:sz w:val="19"/>
              </w:rPr>
              <w:t>Low</w:t>
            </w:r>
          </w:p>
        </w:tc>
        <w:tc>
          <w:tcPr>
            <w:tcW w:type="dxa" w:w="1152"/>
            <w:shd w:fill="FFFFFF"/>
            <w:tcMar>
              <w:top w:w="80" w:type="dxa"/>
              <w:bottom w:w="80" w:type="dxa"/>
              <w:left w:w="140" w:type="dxa"/>
              <w:right w:w="140" w:type="dxa"/>
            </w:tcMar>
          </w:tcPr>
          <w:p>
            <w:pPr>
              <w:spacing w:line="276" w:lineRule="auto" w:after="40" w:before="40"/>
            </w:pPr>
            <w:r>
              <w:rPr>
                <w:rFonts w:ascii="Calibri" w:hAnsi="Calibri"/>
                <w:color w:val="2D3748"/>
                <w:sz w:val="19"/>
              </w:rPr>
              <w:t>High</w:t>
            </w:r>
          </w:p>
        </w:tc>
        <w:tc>
          <w:tcPr>
            <w:tcW w:type="dxa" w:w="1296"/>
            <w:shd w:fill="FFFFFF"/>
            <w:tcMar>
              <w:top w:w="80" w:type="dxa"/>
              <w:bottom w:w="80" w:type="dxa"/>
              <w:left w:w="140" w:type="dxa"/>
              <w:right w:w="140" w:type="dxa"/>
            </w:tcMar>
          </w:tcPr>
          <w:p>
            <w:pPr>
              <w:spacing w:line="276" w:lineRule="auto" w:after="40" w:before="40"/>
            </w:pPr>
            <w:r>
              <w:rPr>
                <w:rFonts w:ascii="Calibri" w:hAnsi="Calibri"/>
                <w:color w:val="2D3748"/>
                <w:sz w:val="19"/>
              </w:rPr>
              <w:t>Moderate</w:t>
            </w:r>
          </w:p>
        </w:tc>
        <w:tc>
          <w:tcPr>
            <w:tcW w:type="dxa" w:w="3600"/>
            <w:shd w:fill="FFFFFF"/>
            <w:tcMar>
              <w:top w:w="80" w:type="dxa"/>
              <w:bottom w:w="80" w:type="dxa"/>
              <w:left w:w="140" w:type="dxa"/>
              <w:right w:w="140" w:type="dxa"/>
            </w:tcMar>
          </w:tcPr>
          <w:p>
            <w:pPr>
              <w:spacing w:line="276" w:lineRule="auto" w:after="40" w:before="40"/>
            </w:pPr>
            <w:r>
              <w:rPr>
                <w:rFonts w:ascii="Calibri" w:hAnsi="Calibri"/>
                <w:color w:val="2D3748"/>
                <w:sz w:val="19"/>
              </w:rPr>
              <w:t>Adopt decoupled modular code architecture (separate data, features, modeling, and UI modules) with pre-planned milestone buffers.</w:t>
            </w:r>
          </w:p>
        </w:tc>
      </w:tr>
    </w:tbl>
    <w:p>
      <w:pPr>
        <w:spacing w:after="120"/>
      </w:pPr>
    </w:p>
    <w:p>
      <w:pPr>
        <w:pStyle w:val="Heading1"/>
        <w:spacing w:before="280" w:after="80"/>
      </w:pPr>
      <w:r>
        <w:rPr>
          <w:b/>
          <w:color w:val="1A365D"/>
        </w:rPr>
        <w:t>9. Technical Stack &amp; Tooling Architecture</w:t>
      </w:r>
    </w:p>
    <w:tbl>
      <w:tblPr>
        <w:tblW w:type="auto" w:w="0"/>
        <w:jc w:val="center"/>
        <w:tblLayout w:type="fixed"/>
        <w:tblLook w:firstColumn="1" w:firstRow="1" w:lastColumn="0" w:lastRow="0" w:noHBand="0" w:noVBand="1" w:val="04A0"/>
        <w:tblBorders>
          <w:top w:val="single" w:sz="4" w:space="0" w:color="CBD5E0"/>
          <w:left w:val="none"/>
          <w:bottom w:val="single" w:sz="8" w:space="0" w:color="1A365D"/>
          <w:right w:val="none"/>
          <w:insideH w:val="single" w:sz="4" w:space="0" w:color="E2E8F0"/>
          <w:insideV w:val="none"/>
        </w:tblBorders>
      </w:tblPr>
      <w:tblGrid>
        <w:gridCol w:w="3120"/>
        <w:gridCol w:w="3120"/>
        <w:gridCol w:w="3120"/>
      </w:tblGrid>
      <w:tr>
        <w:tc>
          <w:tcPr>
            <w:tcW w:type="dxa" w:w="2592"/>
            <w:shd w:fill="1A365D"/>
            <w:tcMar>
              <w:top w:w="120" w:type="dxa"/>
              <w:bottom w:w="120" w:type="dxa"/>
              <w:left w:w="140" w:type="dxa"/>
              <w:right w:w="140" w:type="dxa"/>
            </w:tcMar>
          </w:tcPr>
          <w:p>
            <w:pPr>
              <w:jc w:val="left"/>
            </w:pPr>
            <w:r>
              <w:rPr>
                <w:rFonts w:ascii="Calibri" w:hAnsi="Calibri"/>
                <w:b/>
                <w:color w:val="FFFFFF"/>
                <w:sz w:val="20"/>
              </w:rPr>
              <w:t>Layer / Category</w:t>
            </w:r>
          </w:p>
        </w:tc>
        <w:tc>
          <w:tcPr>
            <w:tcW w:type="dxa" w:w="3168"/>
            <w:shd w:fill="1A365D"/>
            <w:tcMar>
              <w:top w:w="120" w:type="dxa"/>
              <w:bottom w:w="120" w:type="dxa"/>
              <w:left w:w="140" w:type="dxa"/>
              <w:right w:w="140" w:type="dxa"/>
            </w:tcMar>
          </w:tcPr>
          <w:p>
            <w:pPr>
              <w:jc w:val="left"/>
            </w:pPr>
            <w:r>
              <w:rPr>
                <w:rFonts w:ascii="Calibri" w:hAnsi="Calibri"/>
                <w:b/>
                <w:color w:val="FFFFFF"/>
                <w:sz w:val="20"/>
              </w:rPr>
              <w:t>Tools &amp; Frameworks</w:t>
            </w:r>
          </w:p>
        </w:tc>
        <w:tc>
          <w:tcPr>
            <w:tcW w:type="dxa" w:w="3600"/>
            <w:shd w:fill="1A365D"/>
            <w:tcMar>
              <w:top w:w="120" w:type="dxa"/>
              <w:bottom w:w="120" w:type="dxa"/>
              <w:left w:w="140" w:type="dxa"/>
              <w:right w:w="140" w:type="dxa"/>
            </w:tcMar>
          </w:tcPr>
          <w:p>
            <w:pPr>
              <w:jc w:val="left"/>
            </w:pPr>
            <w:r>
              <w:rPr>
                <w:rFonts w:ascii="Calibri" w:hAnsi="Calibri"/>
                <w:b/>
                <w:color w:val="FFFFFF"/>
                <w:sz w:val="20"/>
              </w:rPr>
              <w:t>Role in Project Lifecycle</w:t>
            </w:r>
          </w:p>
        </w:tc>
      </w:tr>
      <w:tr>
        <w:tc>
          <w:tcPr>
            <w:tcW w:type="dxa" w:w="2592"/>
            <w:shd w:fill="FFFFFF"/>
            <w:tcMar>
              <w:top w:w="80" w:type="dxa"/>
              <w:bottom w:w="80" w:type="dxa"/>
              <w:left w:w="140" w:type="dxa"/>
              <w:right w:w="140" w:type="dxa"/>
            </w:tcMar>
          </w:tcPr>
          <w:p>
            <w:pPr>
              <w:spacing w:line="276" w:lineRule="auto" w:after="40" w:before="40"/>
            </w:pPr>
            <w:r>
              <w:rPr>
                <w:rFonts w:ascii="Calibri" w:hAnsi="Calibri"/>
                <w:color w:val="2D3748"/>
                <w:sz w:val="19"/>
              </w:rPr>
              <w:t>Programming Language</w:t>
            </w:r>
          </w:p>
        </w:tc>
        <w:tc>
          <w:tcPr>
            <w:tcW w:type="dxa" w:w="3168"/>
            <w:shd w:fill="FFFFFF"/>
            <w:tcMar>
              <w:top w:w="80" w:type="dxa"/>
              <w:bottom w:w="80" w:type="dxa"/>
              <w:left w:w="140" w:type="dxa"/>
              <w:right w:w="140" w:type="dxa"/>
            </w:tcMar>
          </w:tcPr>
          <w:p>
            <w:pPr>
              <w:spacing w:line="276" w:lineRule="auto" w:after="40" w:before="40"/>
            </w:pPr>
            <w:r>
              <w:rPr>
                <w:rFonts w:ascii="Calibri" w:hAnsi="Calibri"/>
                <w:color w:val="2D3748"/>
                <w:sz w:val="19"/>
              </w:rPr>
              <w:t>Python 3.10+</w:t>
            </w:r>
          </w:p>
        </w:tc>
        <w:tc>
          <w:tcPr>
            <w:tcW w:type="dxa" w:w="3600"/>
            <w:shd w:fill="FFFFFF"/>
            <w:tcMar>
              <w:top w:w="80" w:type="dxa"/>
              <w:bottom w:w="80" w:type="dxa"/>
              <w:left w:w="140" w:type="dxa"/>
              <w:right w:w="140" w:type="dxa"/>
            </w:tcMar>
          </w:tcPr>
          <w:p>
            <w:pPr>
              <w:spacing w:line="276" w:lineRule="auto" w:after="40" w:before="40"/>
            </w:pPr>
            <w:r>
              <w:rPr>
                <w:rFonts w:ascii="Calibri" w:hAnsi="Calibri"/>
                <w:color w:val="2D3748"/>
                <w:sz w:val="19"/>
              </w:rPr>
              <w:t>Primary runtime for ML development and scripting.</w:t>
            </w:r>
          </w:p>
        </w:tc>
      </w:tr>
      <w:tr>
        <w:tc>
          <w:tcPr>
            <w:tcW w:type="dxa" w:w="2592"/>
            <w:shd w:fill="F7FAFC"/>
            <w:tcMar>
              <w:top w:w="80" w:type="dxa"/>
              <w:bottom w:w="80" w:type="dxa"/>
              <w:left w:w="140" w:type="dxa"/>
              <w:right w:w="140" w:type="dxa"/>
            </w:tcMar>
          </w:tcPr>
          <w:p>
            <w:pPr>
              <w:spacing w:line="276" w:lineRule="auto" w:after="40" w:before="40"/>
            </w:pPr>
            <w:r>
              <w:rPr>
                <w:rFonts w:ascii="Calibri" w:hAnsi="Calibri"/>
                <w:color w:val="2D3748"/>
                <w:sz w:val="19"/>
              </w:rPr>
              <w:t>Data Processing &amp; EDA</w:t>
            </w:r>
          </w:p>
        </w:tc>
        <w:tc>
          <w:tcPr>
            <w:tcW w:type="dxa" w:w="3168"/>
            <w:shd w:fill="F7FAFC"/>
            <w:tcMar>
              <w:top w:w="80" w:type="dxa"/>
              <w:bottom w:w="80" w:type="dxa"/>
              <w:left w:w="140" w:type="dxa"/>
              <w:right w:w="140" w:type="dxa"/>
            </w:tcMar>
          </w:tcPr>
          <w:p>
            <w:pPr>
              <w:spacing w:line="276" w:lineRule="auto" w:after="40" w:before="40"/>
            </w:pPr>
            <w:r>
              <w:rPr>
                <w:rFonts w:ascii="Calibri" w:hAnsi="Calibri"/>
                <w:color w:val="2D3748"/>
                <w:sz w:val="19"/>
              </w:rPr>
              <w:t>Pandas, NumPy, Matplotlib, Seaborn</w:t>
            </w:r>
          </w:p>
        </w:tc>
        <w:tc>
          <w:tcPr>
            <w:tcW w:type="dxa" w:w="3600"/>
            <w:shd w:fill="F7FAFC"/>
            <w:tcMar>
              <w:top w:w="80" w:type="dxa"/>
              <w:bottom w:w="80" w:type="dxa"/>
              <w:left w:w="140" w:type="dxa"/>
              <w:right w:w="140" w:type="dxa"/>
            </w:tcMar>
          </w:tcPr>
          <w:p>
            <w:pPr>
              <w:spacing w:line="276" w:lineRule="auto" w:after="40" w:before="40"/>
            </w:pPr>
            <w:r>
              <w:rPr>
                <w:rFonts w:ascii="Calibri" w:hAnsi="Calibri"/>
                <w:color w:val="2D3748"/>
                <w:sz w:val="19"/>
              </w:rPr>
              <w:t>Tabular data manipulation, statistical profiling, and distribution visualization.</w:t>
            </w:r>
          </w:p>
        </w:tc>
      </w:tr>
      <w:tr>
        <w:tc>
          <w:tcPr>
            <w:tcW w:type="dxa" w:w="2592"/>
            <w:shd w:fill="FFFFFF"/>
            <w:tcMar>
              <w:top w:w="80" w:type="dxa"/>
              <w:bottom w:w="80" w:type="dxa"/>
              <w:left w:w="140" w:type="dxa"/>
              <w:right w:w="140" w:type="dxa"/>
            </w:tcMar>
          </w:tcPr>
          <w:p>
            <w:pPr>
              <w:spacing w:line="276" w:lineRule="auto" w:after="40" w:before="40"/>
            </w:pPr>
            <w:r>
              <w:rPr>
                <w:rFonts w:ascii="Calibri" w:hAnsi="Calibri"/>
                <w:color w:val="2D3748"/>
                <w:sz w:val="19"/>
              </w:rPr>
              <w:t>NLP &amp; Preprocessing</w:t>
            </w:r>
          </w:p>
        </w:tc>
        <w:tc>
          <w:tcPr>
            <w:tcW w:type="dxa" w:w="3168"/>
            <w:shd w:fill="FFFFFF"/>
            <w:tcMar>
              <w:top w:w="80" w:type="dxa"/>
              <w:bottom w:w="80" w:type="dxa"/>
              <w:left w:w="140" w:type="dxa"/>
              <w:right w:w="140" w:type="dxa"/>
            </w:tcMar>
          </w:tcPr>
          <w:p>
            <w:pPr>
              <w:spacing w:line="276" w:lineRule="auto" w:after="40" w:before="40"/>
            </w:pPr>
            <w:r>
              <w:rPr>
                <w:rFonts w:ascii="Calibri" w:hAnsi="Calibri"/>
                <w:color w:val="2D3748"/>
                <w:sz w:val="19"/>
              </w:rPr>
              <w:t>NLTK, spaCy, RegEx, scikit-learn</w:t>
            </w:r>
          </w:p>
        </w:tc>
        <w:tc>
          <w:tcPr>
            <w:tcW w:type="dxa" w:w="3600"/>
            <w:shd w:fill="FFFFFF"/>
            <w:tcMar>
              <w:top w:w="80" w:type="dxa"/>
              <w:bottom w:w="80" w:type="dxa"/>
              <w:left w:w="140" w:type="dxa"/>
              <w:right w:w="140" w:type="dxa"/>
            </w:tcMar>
          </w:tcPr>
          <w:p>
            <w:pPr>
              <w:spacing w:line="276" w:lineRule="auto" w:after="40" w:before="40"/>
            </w:pPr>
            <w:r>
              <w:rPr>
                <w:rFonts w:ascii="Calibri" w:hAnsi="Calibri"/>
                <w:color w:val="2D3748"/>
                <w:sz w:val="19"/>
              </w:rPr>
              <w:t>Tokenization, lemmatization, stopword cleaning, TF-IDF vectorization.</w:t>
            </w:r>
          </w:p>
        </w:tc>
      </w:tr>
      <w:tr>
        <w:tc>
          <w:tcPr>
            <w:tcW w:type="dxa" w:w="2592"/>
            <w:shd w:fill="F7FAFC"/>
            <w:tcMar>
              <w:top w:w="80" w:type="dxa"/>
              <w:bottom w:w="80" w:type="dxa"/>
              <w:left w:w="140" w:type="dxa"/>
              <w:right w:w="140" w:type="dxa"/>
            </w:tcMar>
          </w:tcPr>
          <w:p>
            <w:pPr>
              <w:spacing w:line="276" w:lineRule="auto" w:after="40" w:before="40"/>
            </w:pPr>
            <w:r>
              <w:rPr>
                <w:rFonts w:ascii="Calibri" w:hAnsi="Calibri"/>
                <w:color w:val="2D3748"/>
                <w:sz w:val="19"/>
              </w:rPr>
              <w:t>Machine Learning Models</w:t>
            </w:r>
          </w:p>
        </w:tc>
        <w:tc>
          <w:tcPr>
            <w:tcW w:type="dxa" w:w="3168"/>
            <w:shd w:fill="F7FAFC"/>
            <w:tcMar>
              <w:top w:w="80" w:type="dxa"/>
              <w:bottom w:w="80" w:type="dxa"/>
              <w:left w:w="140" w:type="dxa"/>
              <w:right w:w="140" w:type="dxa"/>
            </w:tcMar>
          </w:tcPr>
          <w:p>
            <w:pPr>
              <w:spacing w:line="276" w:lineRule="auto" w:after="40" w:before="40"/>
            </w:pPr>
            <w:r>
              <w:rPr>
                <w:rFonts w:ascii="Calibri" w:hAnsi="Calibri"/>
                <w:color w:val="2D3748"/>
                <w:sz w:val="19"/>
              </w:rPr>
              <w:t>Scikit-Learn, LightGBM, Hugging Face Transformers</w:t>
            </w:r>
          </w:p>
        </w:tc>
        <w:tc>
          <w:tcPr>
            <w:tcW w:type="dxa" w:w="3600"/>
            <w:shd w:fill="F7FAFC"/>
            <w:tcMar>
              <w:top w:w="80" w:type="dxa"/>
              <w:bottom w:w="80" w:type="dxa"/>
              <w:left w:w="140" w:type="dxa"/>
              <w:right w:w="140" w:type="dxa"/>
            </w:tcMar>
          </w:tcPr>
          <w:p>
            <w:pPr>
              <w:spacing w:line="276" w:lineRule="auto" w:after="40" w:before="40"/>
            </w:pPr>
            <w:r>
              <w:rPr>
                <w:rFonts w:ascii="Calibri" w:hAnsi="Calibri"/>
                <w:color w:val="2D3748"/>
                <w:sz w:val="19"/>
              </w:rPr>
              <w:t>Classification algorithms, pipeline orchestration, DistilBERT fine-tuning.</w:t>
            </w:r>
          </w:p>
        </w:tc>
      </w:tr>
      <w:tr>
        <w:tc>
          <w:tcPr>
            <w:tcW w:type="dxa" w:w="2592"/>
            <w:shd w:fill="FFFFFF"/>
            <w:tcMar>
              <w:top w:w="80" w:type="dxa"/>
              <w:bottom w:w="80" w:type="dxa"/>
              <w:left w:w="140" w:type="dxa"/>
              <w:right w:w="140" w:type="dxa"/>
            </w:tcMar>
          </w:tcPr>
          <w:p>
            <w:pPr>
              <w:spacing w:line="276" w:lineRule="auto" w:after="40" w:before="40"/>
            </w:pPr>
            <w:r>
              <w:rPr>
                <w:rFonts w:ascii="Calibri" w:hAnsi="Calibri"/>
                <w:color w:val="2D3748"/>
                <w:sz w:val="19"/>
              </w:rPr>
              <w:t>Evaluation &amp; Tuning</w:t>
            </w:r>
          </w:p>
        </w:tc>
        <w:tc>
          <w:tcPr>
            <w:tcW w:type="dxa" w:w="3168"/>
            <w:shd w:fill="FFFFFF"/>
            <w:tcMar>
              <w:top w:w="80" w:type="dxa"/>
              <w:bottom w:w="80" w:type="dxa"/>
              <w:left w:w="140" w:type="dxa"/>
              <w:right w:w="140" w:type="dxa"/>
            </w:tcMar>
          </w:tcPr>
          <w:p>
            <w:pPr>
              <w:spacing w:line="276" w:lineRule="auto" w:after="40" w:before="40"/>
            </w:pPr>
            <w:r>
              <w:rPr>
                <w:rFonts w:ascii="Calibri" w:hAnsi="Calibri"/>
                <w:color w:val="2D3748"/>
                <w:sz w:val="19"/>
              </w:rPr>
              <w:t>Scikit-Learn Metrics, Yellowbrick</w:t>
            </w:r>
          </w:p>
        </w:tc>
        <w:tc>
          <w:tcPr>
            <w:tcW w:type="dxa" w:w="3600"/>
            <w:shd w:fill="FFFFFF"/>
            <w:tcMar>
              <w:top w:w="80" w:type="dxa"/>
              <w:bottom w:w="80" w:type="dxa"/>
              <w:left w:w="140" w:type="dxa"/>
              <w:right w:w="140" w:type="dxa"/>
            </w:tcMar>
          </w:tcPr>
          <w:p>
            <w:pPr>
              <w:spacing w:line="276" w:lineRule="auto" w:after="40" w:before="40"/>
            </w:pPr>
            <w:r>
              <w:rPr>
                <w:rFonts w:ascii="Calibri" w:hAnsi="Calibri"/>
                <w:color w:val="2D3748"/>
                <w:sz w:val="19"/>
              </w:rPr>
              <w:t>Cross-validation, confusion matrices, ROC curves, calibration curves.</w:t>
            </w:r>
          </w:p>
        </w:tc>
      </w:tr>
      <w:tr>
        <w:tc>
          <w:tcPr>
            <w:tcW w:type="dxa" w:w="2592"/>
            <w:shd w:fill="F7FAFC"/>
            <w:tcMar>
              <w:top w:w="80" w:type="dxa"/>
              <w:bottom w:w="80" w:type="dxa"/>
              <w:left w:w="140" w:type="dxa"/>
              <w:right w:w="140" w:type="dxa"/>
            </w:tcMar>
          </w:tcPr>
          <w:p>
            <w:pPr>
              <w:spacing w:line="276" w:lineRule="auto" w:after="40" w:before="40"/>
            </w:pPr>
            <w:r>
              <w:rPr>
                <w:rFonts w:ascii="Calibri" w:hAnsi="Calibri"/>
                <w:color w:val="2D3748"/>
                <w:sz w:val="19"/>
              </w:rPr>
              <w:t>Application &amp; UI</w:t>
            </w:r>
          </w:p>
        </w:tc>
        <w:tc>
          <w:tcPr>
            <w:tcW w:type="dxa" w:w="3168"/>
            <w:shd w:fill="F7FAFC"/>
            <w:tcMar>
              <w:top w:w="80" w:type="dxa"/>
              <w:bottom w:w="80" w:type="dxa"/>
              <w:left w:w="140" w:type="dxa"/>
              <w:right w:w="140" w:type="dxa"/>
            </w:tcMar>
          </w:tcPr>
          <w:p>
            <w:pPr>
              <w:spacing w:line="276" w:lineRule="auto" w:after="40" w:before="40"/>
            </w:pPr>
            <w:r>
              <w:rPr>
                <w:rFonts w:ascii="Calibri" w:hAnsi="Calibri"/>
                <w:color w:val="2D3748"/>
                <w:sz w:val="19"/>
              </w:rPr>
              <w:t>Streamlit, Joblib</w:t>
            </w:r>
          </w:p>
        </w:tc>
        <w:tc>
          <w:tcPr>
            <w:tcW w:type="dxa" w:w="3600"/>
            <w:shd w:fill="F7FAFC"/>
            <w:tcMar>
              <w:top w:w="80" w:type="dxa"/>
              <w:bottom w:w="80" w:type="dxa"/>
              <w:left w:w="140" w:type="dxa"/>
              <w:right w:w="140" w:type="dxa"/>
            </w:tcMar>
          </w:tcPr>
          <w:p>
            <w:pPr>
              <w:spacing w:line="276" w:lineRule="auto" w:after="40" w:before="40"/>
            </w:pPr>
            <w:r>
              <w:rPr>
                <w:rFonts w:ascii="Calibri" w:hAnsi="Calibri"/>
                <w:color w:val="2D3748"/>
                <w:sz w:val="19"/>
              </w:rPr>
              <w:t>Interactive live demo web application and model serialization.</w:t>
            </w:r>
          </w:p>
        </w:tc>
      </w:tr>
      <w:tr>
        <w:tc>
          <w:tcPr>
            <w:tcW w:type="dxa" w:w="2592"/>
            <w:shd w:fill="FFFFFF"/>
            <w:tcMar>
              <w:top w:w="80" w:type="dxa"/>
              <w:bottom w:w="80" w:type="dxa"/>
              <w:left w:w="140" w:type="dxa"/>
              <w:right w:w="140" w:type="dxa"/>
            </w:tcMar>
          </w:tcPr>
          <w:p>
            <w:pPr>
              <w:spacing w:line="276" w:lineRule="auto" w:after="40" w:before="40"/>
            </w:pPr>
            <w:r>
              <w:rPr>
                <w:rFonts w:ascii="Calibri" w:hAnsi="Calibri"/>
                <w:color w:val="2D3748"/>
                <w:sz w:val="19"/>
              </w:rPr>
              <w:t>Version Control</w:t>
            </w:r>
          </w:p>
        </w:tc>
        <w:tc>
          <w:tcPr>
            <w:tcW w:type="dxa" w:w="3168"/>
            <w:shd w:fill="FFFFFF"/>
            <w:tcMar>
              <w:top w:w="80" w:type="dxa"/>
              <w:bottom w:w="80" w:type="dxa"/>
              <w:left w:w="140" w:type="dxa"/>
              <w:right w:w="140" w:type="dxa"/>
            </w:tcMar>
          </w:tcPr>
          <w:p>
            <w:pPr>
              <w:spacing w:line="276" w:lineRule="auto" w:after="40" w:before="40"/>
            </w:pPr>
            <w:r>
              <w:rPr>
                <w:rFonts w:ascii="Calibri" w:hAnsi="Calibri"/>
                <w:color w:val="2D3748"/>
                <w:sz w:val="19"/>
              </w:rPr>
              <w:t>Git, GitHub</w:t>
            </w:r>
          </w:p>
        </w:tc>
        <w:tc>
          <w:tcPr>
            <w:tcW w:type="dxa" w:w="3600"/>
            <w:shd w:fill="FFFFFF"/>
            <w:tcMar>
              <w:top w:w="80" w:type="dxa"/>
              <w:bottom w:w="80" w:type="dxa"/>
              <w:left w:w="140" w:type="dxa"/>
              <w:right w:w="140" w:type="dxa"/>
            </w:tcMar>
          </w:tcPr>
          <w:p>
            <w:pPr>
              <w:spacing w:line="276" w:lineRule="auto" w:after="40" w:before="40"/>
            </w:pPr>
            <w:r>
              <w:rPr>
                <w:rFonts w:ascii="Calibri" w:hAnsi="Calibri"/>
                <w:color w:val="2D3748"/>
                <w:sz w:val="19"/>
              </w:rPr>
              <w:t>Source code management, sprint deliverables tracking, reproducible code sharing.</w:t>
            </w:r>
          </w:p>
        </w:tc>
      </w:tr>
    </w:tbl>
    <w:p>
      <w:pPr>
        <w:spacing w:after="120"/>
      </w:pPr>
    </w:p>
    <w:p>
      <w:pPr>
        <w:pStyle w:val="Heading1"/>
        <w:spacing w:before="280" w:after="80"/>
      </w:pPr>
      <w:r>
        <w:rPr>
          <w:b/>
          <w:color w:val="1A365D"/>
        </w:rPr>
        <w:t>10. References &amp; Empirical Literature</w:t>
      </w:r>
    </w:p>
    <w:p>
      <w:pPr>
        <w:spacing w:after="60"/>
      </w:pPr>
      <w:r>
        <w:rPr>
          <w:color w:val="4A5568"/>
          <w:sz w:val="19"/>
        </w:rPr>
        <w:t>1. Devlin, J., Chang, M. W., Lee, K., &amp; Toutanova, K. (2018). BERT: Pre-training of Deep Bidirectional Transformers for Language Understanding. arXiv preprint arXiv:1810.04805.</w:t>
      </w:r>
    </w:p>
    <w:p>
      <w:pPr>
        <w:spacing w:after="60"/>
      </w:pPr>
      <w:r>
        <w:rPr>
          <w:color w:val="4A5568"/>
          <w:sz w:val="19"/>
        </w:rPr>
        <w:t>2. Sanh, V., Debut, L., Chaumond, J., &amp; Wolf, T. (2019). DistilBERT, a distilled version of BERT: smaller, faster, cheaper and lighter. arXiv preprint arXiv:1910.01108.</w:t>
      </w:r>
    </w:p>
    <w:p>
      <w:pPr>
        <w:spacing w:after="60"/>
      </w:pPr>
      <w:r>
        <w:rPr>
          <w:color w:val="4A5568"/>
          <w:sz w:val="19"/>
        </w:rPr>
        <w:t>3. Pang, B., &amp; Lee, L. (2008). Opinion mining and sentiment analysis. Foundations and Trends in Information Retrieval, 2(1–2), 1-135.</w:t>
      </w:r>
    </w:p>
    <w:p>
      <w:pPr>
        <w:spacing w:after="60"/>
      </w:pPr>
      <w:r>
        <w:rPr>
          <w:color w:val="4A5568"/>
          <w:sz w:val="19"/>
        </w:rPr>
        <w:t>4. Pedregosa, F., et al. (2011). Scikit-learn: Machine Learning in Python. Journal of Machine Learning Research, 12, 2825-2830.</w:t>
      </w:r>
    </w:p>
    <w:p>
      <w:pPr>
        <w:spacing w:after="60"/>
      </w:pPr>
      <w:r>
        <w:rPr>
          <w:color w:val="4A5568"/>
          <w:sz w:val="19"/>
        </w:rPr>
        <w:t>5. McAuley, J., Targett, C., Shi, Q., &amp; van den Hengel, A. (2015). Image-based recommendations on styles and substitutes. In Proceedings of the 38th International ACM SIGIR Conference on Research and Development in Information Retrieval.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