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B6CB0"/>
          <w:sz w:val="19"/>
        </w:rPr>
        <w:t>Yuvaintern Virtual ML Internship | Week 5 Capstone Deliverable</w:t>
        <w:br/>
      </w:r>
      <w:r>
        <w:rPr>
          <w:b/>
          <w:color w:val="1A365D"/>
          <w:sz w:val="44"/>
        </w:rPr>
        <w:t>Deployment Planning, Ethical Considerations &amp; Reflective Analysis</w:t>
      </w:r>
    </w:p>
    <w:p>
      <w:pPr>
        <w:spacing w:after="280"/>
      </w:pPr>
      <w:r>
        <w:rPr>
          <w:i/>
          <w:color w:val="4A5568"/>
          <w:sz w:val="25"/>
        </w:rPr>
        <w:t>Industrializing IntelliFeedback: MLOps Architecture, Responsible AI Governance, and 5-Week Internship Retrospective</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160"/>
            <w:shd w:fill="2B6CB0"/>
            <w:tcMar>
              <w:top w:w="120" w:type="dxa"/>
              <w:bottom w:w="120" w:type="dxa"/>
              <w:left w:w="140" w:type="dxa"/>
              <w:right w:w="140" w:type="dxa"/>
            </w:tcMar>
          </w:tcPr>
          <w:p>
            <w:pPr>
              <w:jc w:val="left"/>
            </w:pPr>
            <w:r>
              <w:rPr>
                <w:rFonts w:ascii="Calibri" w:hAnsi="Calibri"/>
                <w:b/>
                <w:color w:val="FFFFFF"/>
                <w:sz w:val="20"/>
              </w:rPr>
              <w:t>Internship Sprint</w:t>
            </w:r>
          </w:p>
        </w:tc>
        <w:tc>
          <w:tcPr>
            <w:tcW w:type="dxa" w:w="2160"/>
            <w:shd w:fill="2B6CB0"/>
            <w:tcMar>
              <w:top w:w="120" w:type="dxa"/>
              <w:bottom w:w="120" w:type="dxa"/>
              <w:left w:w="140" w:type="dxa"/>
              <w:right w:w="140" w:type="dxa"/>
            </w:tcMar>
          </w:tcPr>
          <w:p>
            <w:pPr>
              <w:jc w:val="left"/>
            </w:pPr>
            <w:r>
              <w:rPr>
                <w:rFonts w:ascii="Calibri" w:hAnsi="Calibri"/>
                <w:b/>
                <w:color w:val="FFFFFF"/>
                <w:sz w:val="20"/>
              </w:rPr>
              <w:t>Track</w:t>
            </w:r>
          </w:p>
        </w:tc>
        <w:tc>
          <w:tcPr>
            <w:tcW w:type="dxa" w:w="3312"/>
            <w:shd w:fill="2B6CB0"/>
            <w:tcMar>
              <w:top w:w="120" w:type="dxa"/>
              <w:bottom w:w="120" w:type="dxa"/>
              <w:left w:w="140" w:type="dxa"/>
              <w:right w:w="140" w:type="dxa"/>
            </w:tcMar>
          </w:tcPr>
          <w:p>
            <w:pPr>
              <w:jc w:val="left"/>
            </w:pPr>
            <w:r>
              <w:rPr>
                <w:rFonts w:ascii="Calibri" w:hAnsi="Calibri"/>
                <w:b/>
                <w:color w:val="FFFFFF"/>
                <w:sz w:val="20"/>
              </w:rPr>
              <w:t>Deliverable Type</w:t>
            </w:r>
          </w:p>
        </w:tc>
        <w:tc>
          <w:tcPr>
            <w:tcW w:type="dxa" w:w="1728"/>
            <w:shd w:fill="2B6CB0"/>
            <w:tcMar>
              <w:top w:w="120" w:type="dxa"/>
              <w:bottom w:w="120" w:type="dxa"/>
              <w:left w:w="140" w:type="dxa"/>
              <w:right w:w="140" w:type="dxa"/>
            </w:tcMar>
          </w:tcPr>
          <w:p>
            <w:pPr>
              <w:jc w:val="left"/>
            </w:pPr>
            <w:r>
              <w:rPr>
                <w:rFonts w:ascii="Calibri" w:hAnsi="Calibri"/>
                <w:b/>
                <w:color w:val="FFFFFF"/>
                <w:sz w:val="20"/>
              </w:rPr>
              <w:t>Target Project</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Week 5 of 5 (Final)</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Machine Learning (ML)</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Deployment, Ethics &amp; Capstone Report</w:t>
            </w:r>
          </w:p>
        </w:tc>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IntelliFeedback (NLP Engine)</w:t>
            </w:r>
          </w:p>
        </w:tc>
      </w:tr>
    </w:tbl>
    <w:p>
      <w:pPr>
        <w:spacing w:after="160"/>
      </w:pPr>
    </w:p>
    <w:p>
      <w:pPr>
        <w:pStyle w:val="Heading1"/>
        <w:spacing w:before="280" w:after="80"/>
      </w:pPr>
      <w:r>
        <w:rPr>
          <w:b/>
          <w:color w:val="1A365D"/>
        </w:rPr>
        <w:t>1. Executive Summary &amp; Capstone Context</w:t>
      </w:r>
    </w:p>
    <w:p>
      <w:r>
        <w:t>The fifth and culminating week of the YuvaIntern Machine Learning Virtual Internship synthesizes the architectural, algorithmic, and engineering foundations established across Weeks 1 through 4 into an enterprise production blueprint. While previous sprints addressed strategic planning, algorithm comparison, leakage-free metric formulation, and modular code architecture, Week 5 focuses on the operational reality of machine learning: industrial deployment planning, ethical governance, data privacy compliance, and reflective technical analysis.</w:t>
      </w:r>
    </w:p>
    <w:p>
      <w:r>
        <w:t>Deploying an NLP sentiment intelligence system into customer-facing environments demands uncompromising standards for scalability, low latency (&lt;20ms SLA), and system reliability. Concurrently, automated decision systems carry profound ethical responsibilities: protecting user privacy against Personally Identifiable Information (PII) leakage, mitigating demographic and dialectical biases, and delivering transparent, explainable predictions. This capstone document formulates a comprehensive cloud-native deployment architecture, establishes a Responsible AI framework, analyzes deployment failure modes, and presents a critical reflection on the 5-week engineering journey.</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xml:space="preserve">📌 CAPSTONE GUIDING PRINCIPLE: </w:t>
            </w:r>
            <w:r>
              <w:rPr>
                <w:rFonts w:ascii="Calibri" w:hAnsi="Calibri"/>
                <w:i/>
                <w:color w:val="2D3748"/>
                <w:sz w:val="21"/>
              </w:rPr>
              <w:t>A machine learning system is never truly complete upon model training; its enduring value is governed by its reliability in production, its resilience against data drift, and the ethical safeguards protecting user privacy and algorithmic fairness.</w:t>
            </w:r>
          </w:p>
        </w:tc>
      </w:tr>
    </w:tbl>
    <w:p>
      <w:pPr>
        <w:spacing w:after="80"/>
      </w:pPr>
    </w:p>
    <w:p>
      <w:pPr>
        <w:pStyle w:val="Heading1"/>
        <w:spacing w:before="280" w:after="80"/>
      </w:pPr>
      <w:r>
        <w:rPr>
          <w:b/>
          <w:color w:val="1A365D"/>
        </w:rPr>
        <w:t>2. Comprehensive Production Deployment Strategy</w:t>
      </w:r>
    </w:p>
    <w:p>
      <w:r>
        <w:t>To satisfy enterprise availability and scalability requirements, IntelliFeedback is engineered as a containerized, cloud-native microservice architecture following GitOps and MLOps best practices:</w:t>
      </w:r>
    </w:p>
    <w:p>
      <w:r>
        <w:t>Figure 5.1: Cloud-Native Microservice Deployment Architecture:</w:t>
      </w:r>
    </w:p>
    <w:tbl>
      <w:tblPr>
        <w:tblW w:type="auto" w:w="0"/>
        <w:jc w:val="center"/>
        <w:tblLayout w:type="fixed"/>
        <w:tblLook w:firstColumn="1" w:firstRow="1" w:lastColumn="0" w:lastRow="0" w:noHBand="0" w:noVBand="1" w:val="04A0"/>
      </w:tblPr>
      <w:tblGrid>
        <w:gridCol w:w="9360"/>
      </w:tblGrid>
      <w:tr>
        <w:tc>
          <w:tcPr>
            <w:tcW w:type="dxa" w:w="9360"/>
            <w:shd w:fill="2D3748"/>
            <w:tcMar>
              <w:top w:w="100" w:type="dxa"/>
              <w:bottom w:w="100" w:type="dxa"/>
              <w:left w:w="140" w:type="dxa"/>
              <w:right w:w="140" w:type="dxa"/>
            </w:tcMar>
            <w:tcBorders>
              <w:top w:val="none"/>
              <w:left w:val="single" w:sz="16" w:space="0" w:color="4FD1C5"/>
              <w:bottom w:val="none"/>
              <w:right w:val="none"/>
            </w:tcBorders>
          </w:tcPr>
          <w:p>
            <w:pPr>
              <w:spacing w:before="40" w:after="40" w:line="252" w:lineRule="auto"/>
            </w:pPr>
            <w:r>
              <w:rPr>
                <w:rFonts w:ascii="Consolas" w:hAnsi="Consolas"/>
                <w:color w:val="E2E8F0"/>
                <w:sz w:val="17"/>
              </w:rPr>
              <w:t>+---------------------------------------------------------------------------------------+</w:t>
              <w:br/>
              <w:t>|                                CLIENT TRAFFIC INGRESS                                 |</w:t>
              <w:br/>
              <w:t>|  - Public Customer Streams / Support Ticketing Webhooks / Interactive Streamlit UI   |</w:t>
              <w:br/>
              <w:t>+-------------------------------------------+-------------------------------------------+</w:t>
              <w:br/>
              <w:t xml:space="preserve">                                            |</w:t>
              <w:br/>
              <w:t xml:space="preserve">                                            v HTTPS (Port 443)</w:t>
              <w:br/>
              <w:t>+---------------------------------------------------------------------------------------+</w:t>
              <w:br/>
              <w:t>|                    INGRESS CONTROLLER &amp; REVERSE PROXY (NGINX)                         |</w:t>
              <w:br/>
              <w:t>|  - Rate Limiting (1,000 req/min) | SSL Termination | PII Scrubbing Interceptor        |</w:t>
              <w:br/>
              <w:t>+-------------------------------------------+-------------------------------------------+</w:t>
              <w:br/>
              <w:t xml:space="preserve">                                            |</w:t>
              <w:br/>
              <w:t xml:space="preserve">                                            v Internal Virtual Network</w:t>
              <w:br/>
              <w:t>+---------------------------------------------------------------------------------------+</w:t>
              <w:br/>
              <w:t>|                 KUBERNETES CONTAINER PODS (HORIZONTAL POD AUTOSCALER)                 |</w:t>
              <w:br/>
              <w:t>|  +---------------------------------------------------------------------------------+  |</w:t>
              <w:br/>
              <w:t>|  | Docker Container (Python 3.12 / FastAPI ASGI Server / Gunicorn Workers)         |  |</w:t>
              <w:br/>
              <w:t>|  |  [1] Preprocessor Transformer (TextCleaner)                                     |  |</w:t>
              <w:br/>
              <w:t>|  |  [2] Serialized Pipeline Artifact (Calibrated LinearSVC + Sublinear TF-IDF)     |  |</w:t>
              <w:br/>
              <w:t>|  |  [3] Tier 2 Transformer Service (DistilBERT Contextual Engine via TorchScript)  |  |</w:t>
              <w:br/>
              <w:t>|  +---------------------------------------------------------------------------------+  |</w:t>
              <w:br/>
              <w:t>+-----------------------+---------------------------------------+-----------------------+</w:t>
              <w:br/>
              <w:t xml:space="preserve">                        |                                       |</w:t>
              <w:br/>
              <w:t xml:space="preserve">                        v                                       v</w:t>
              <w:br/>
              <w:t>+-----------------------------------------------+  +------------------------------------+</w:t>
              <w:br/>
              <w:t>|            REDIS IN-MEMORY CACHE              |  |      PROMETHEUS &amp; GRAFANA STACK    |</w:t>
              <w:br/>
              <w:t>|  - Caches identical review hashes for 1 hour  |  |  - Real-time p95/p99 Latency Gauges|</w:t>
              <w:br/>
              <w:t>|  - Sub-millisecond hit response (&lt;2ms)        |  |  - Input Drift &amp; PSI Distribution  |</w:t>
              <w:br/>
              <w:t>+-----------------------------------------------+  +------------------------------------+</w:t>
              <w:br/>
            </w:r>
          </w:p>
        </w:tc>
      </w:tr>
    </w:tbl>
    <w:p>
      <w:pPr>
        <w:spacing w:after="80"/>
      </w:pPr>
    </w:p>
    <w:p>
      <w:pPr>
        <w:pStyle w:val="Heading2"/>
      </w:pPr>
      <w:r>
        <w:rPr>
          <w:color w:val="2B6CB0"/>
        </w:rPr>
        <w:t>2.1 Infrastructure &amp; Containerization Blueprint</w:t>
      </w:r>
    </w:p>
    <w:p>
      <w:r>
        <w:t>The application is packaged as an immutable, lightweight OCI-compliant Docker image based on `python:3.12-slim`. The container isolates system libraries, dependencies, and pre-compiled model artifacts (`models/production_sentiment_pipeline.joblib`), eliminating environment divergence across development, staging, and production clusters. Container orchestration is managed via Kubernetes (AWS EKS or GCP GKE) with Horizontal Pod Autoscaling (HPA) configured to dynamically scale pod replicas from 2 to 20 based on CPU utilization (&gt;70%) and concurrent request queue depth.</w:t>
      </w:r>
    </w:p>
    <w:p>
      <w:pPr>
        <w:pStyle w:val="Heading2"/>
      </w:pPr>
      <w:r>
        <w:rPr>
          <w:color w:val="2B6CB0"/>
        </w:rPr>
        <w:t>2.2 CI/CD Pipeline &amp; Automated Release Gates</w:t>
      </w:r>
    </w:p>
    <w:p>
      <w:r>
        <w:t>Deployment follows a strict automated Continuous Integration and Continuous Deployment (CI/CD) pipeline managed via GitHub Actions:</w:t>
      </w:r>
    </w:p>
    <w:p>
      <w:pPr>
        <w:pStyle w:val="ListBullet"/>
      </w:pPr>
      <w:r>
        <w:rPr>
          <w:b/>
        </w:rPr>
        <w:t xml:space="preserve">Automated Linting &amp; Unit Testing Gate: </w:t>
      </w:r>
      <w:r>
        <w:t>Every pull request executes `pytest tests/test_pipeline.py` and `flake8/black` formatting checks. Builds fail if test coverage drops below 90%.</w:t>
      </w:r>
    </w:p>
    <w:p>
      <w:pPr>
        <w:pStyle w:val="ListBullet"/>
      </w:pPr>
      <w:r>
        <w:rPr>
          <w:b/>
        </w:rPr>
        <w:t xml:space="preserve">Model Validation &amp; Regression Gate: </w:t>
      </w:r>
      <w:r>
        <w:t>New candidate models are benchmarked against the Golden Blind Test Set. Release is blocked if Macro F1 drops below 0.88 or Negative Recall falls below 0.90.</w:t>
      </w:r>
    </w:p>
    <w:p>
      <w:pPr>
        <w:pStyle w:val="ListBullet"/>
      </w:pPr>
      <w:r>
        <w:rPr>
          <w:b/>
        </w:rPr>
        <w:t xml:space="preserve">Canary Deployment: </w:t>
      </w:r>
      <w:r>
        <w:t>New container versions receive 5% of production traffic for 30 minutes. Telemetry is monitored for latency regressions or 5xx error spikes before 100% rollout.</w:t>
      </w:r>
    </w:p>
    <w:p>
      <w:pPr>
        <w:pStyle w:val="Heading2"/>
      </w:pPr>
      <w:r>
        <w:rPr>
          <w:color w:val="2B6CB0"/>
        </w:rPr>
        <w:t>2.3 Continuous Monitoring &amp; Drift Detection Protocol</w:t>
      </w:r>
    </w:p>
    <w:p>
      <w:r>
        <w:t>Post-deployment degradation is tracked via two automated telemetry monitors: (1) Data Drift Monitoring using the Population Stability Index (PSI) and Kolmogorov-Smirnov test over incoming review lengths and TF-IDF feature distributions; and (2) Concept Drift Monitoring tracking human auditor disagreement rates. When PSI exceeds 0.25, automated webhooks alert MLOps engineers and trigger retraining pipelines on newly collected feedback.</w:t>
      </w:r>
    </w:p>
    <w:p>
      <w:pPr>
        <w:pStyle w:val="Heading1"/>
        <w:spacing w:before="280" w:after="80"/>
      </w:pPr>
      <w:r>
        <w:rPr>
          <w:b/>
          <w:color w:val="1A365D"/>
        </w:rPr>
        <w:t>3. Ethical Considerations, Algorithmic Fairness &amp; Privacy</w:t>
      </w:r>
    </w:p>
    <w:p>
      <w:r>
        <w:t>The automated classification of human sentiment directly influences customer prioritization, support escalations, and product decisions. We establish strict ethical safeguards across bias mitigation, privacy compliance, and model transparency:</w:t>
      </w:r>
    </w:p>
    <w:p>
      <w:pPr>
        <w:pStyle w:val="Heading2"/>
      </w:pPr>
      <w:r>
        <w:rPr>
          <w:color w:val="2B6CB0"/>
        </w:rPr>
        <w:t>3.1 Algorithmic Bias Identification &amp; Mitigation</w:t>
      </w:r>
    </w:p>
    <w:p>
      <w:r>
        <w:t>Natural language corpora frequently reflect societal, regional, and demographic biases. Specifically, NLP sentiment models often display systemic prejudice against non-standard English dialects (e.g., African American Vernacular English - AAVE, Indian English colloquialisms) and informal vernacular, incorrectly tagging informal vernacular as 'Negative' or aggressive.</w:t>
      </w:r>
    </w:p>
    <w:p>
      <w:r>
        <w:t>Countermeasure: We conduct Disaggregated Slice-Based Auditing across dialectical markers and enforce Equalized Odds: P(Y_pred = 1 | Y_true = 1, Group = A) = P(Y_pred = 1 | Y_true = 1, Group = B). Data augmentation techniques inject dialectical variants into training folds to balance sensitivity across diverse cultural customer bases.</w:t>
      </w:r>
    </w:p>
    <w:p>
      <w:pPr>
        <w:pStyle w:val="Heading2"/>
      </w:pPr>
      <w:r>
        <w:rPr>
          <w:color w:val="2B6CB0"/>
        </w:rPr>
        <w:t>3.2 Data Privacy, Anonymization &amp; Regulatory Compliance (GDPR / CCPA)</w:t>
      </w:r>
    </w:p>
    <w:p>
      <w:r>
        <w:t>Customer reviews frequently contain unprompted Personally Identifiable Information (PII)—including phone numbers, delivery addresses, email addresses, and employee names. Transmitting or storing unredacted PII violates GDPR Article 6 and CCPA mandates.</w:t>
      </w:r>
    </w:p>
    <w:p>
      <w:r>
        <w:t>Countermeasure: IntelliFeedback incorporates a stateless Regex &amp; Named Entity Recognition (NER) PII Scrubber in the ingestion layer. All emails, telephone numbers, credit card sequences, and personal identifiers are masked into standardized tokens (`[REDACTED_EMAIL]`, `[REDACTED_PHONE]`) prior to feature extraction and database persistence.</w:t>
      </w:r>
    </w:p>
    <w:p>
      <w:pPr>
        <w:pStyle w:val="Heading2"/>
      </w:pPr>
      <w:r>
        <w:rPr>
          <w:color w:val="2B6CB0"/>
        </w:rPr>
        <w:t>3.3 Model Explainability, Transparency &amp; Human Oversight</w:t>
      </w:r>
    </w:p>
    <w:p>
      <w:r>
        <w:t>Black-box decision making undermines stakeholder trust. To ensure transparent operations, IntelliFeedback couples every prediction with token-level feature attribution using SHAP (SHapley Additive exPlanations) and linear hyperplane coefficients. Customer service agents are presented with highlighted keywords (e.g., 'cracked screen', 'rude staff') that directly drove the negative classification, facilitating fast and objective customer resolution.</w:t>
      </w:r>
    </w:p>
    <w:p>
      <w:pPr>
        <w:pStyle w:val="Heading1"/>
        <w:spacing w:before="280" w:after="80"/>
      </w:pPr>
      <w:r>
        <w:rPr>
          <w:b/>
          <w:color w:val="1A365D"/>
        </w:rPr>
        <w:t>4. Deployment Risk Management &amp; Contingency Framework</w:t>
      </w:r>
    </w:p>
    <w:p>
      <w:r>
        <w:t>The table below identifies critical production vulnerabilities, their business impact, and our concrete contingency protocols:</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160"/>
            <w:shd w:fill="1A365D"/>
            <w:tcMar>
              <w:top w:w="120" w:type="dxa"/>
              <w:bottom w:w="120" w:type="dxa"/>
              <w:left w:w="140" w:type="dxa"/>
              <w:right w:w="140" w:type="dxa"/>
            </w:tcMar>
          </w:tcPr>
          <w:p>
            <w:pPr>
              <w:jc w:val="left"/>
            </w:pPr>
            <w:r>
              <w:rPr>
                <w:rFonts w:ascii="Calibri" w:hAnsi="Calibri"/>
                <w:b/>
                <w:color w:val="FFFFFF"/>
                <w:sz w:val="20"/>
              </w:rPr>
              <w:t>Deployment Risk Factor</w:t>
            </w:r>
          </w:p>
        </w:tc>
        <w:tc>
          <w:tcPr>
            <w:tcW w:type="dxa" w:w="2592"/>
            <w:shd w:fill="1A365D"/>
            <w:tcMar>
              <w:top w:w="120" w:type="dxa"/>
              <w:bottom w:w="120" w:type="dxa"/>
              <w:left w:w="140" w:type="dxa"/>
              <w:right w:w="140" w:type="dxa"/>
            </w:tcMar>
          </w:tcPr>
          <w:p>
            <w:pPr>
              <w:jc w:val="left"/>
            </w:pPr>
            <w:r>
              <w:rPr>
                <w:rFonts w:ascii="Calibri" w:hAnsi="Calibri"/>
                <w:b/>
                <w:color w:val="FFFFFF"/>
                <w:sz w:val="20"/>
              </w:rPr>
              <w:t>Operational Threat</w:t>
            </w:r>
          </w:p>
        </w:tc>
        <w:tc>
          <w:tcPr>
            <w:tcW w:type="dxa" w:w="1584"/>
            <w:shd w:fill="1A365D"/>
            <w:tcMar>
              <w:top w:w="120" w:type="dxa"/>
              <w:bottom w:w="120" w:type="dxa"/>
              <w:left w:w="140" w:type="dxa"/>
              <w:right w:w="140" w:type="dxa"/>
            </w:tcMar>
          </w:tcPr>
          <w:p>
            <w:pPr>
              <w:jc w:val="left"/>
            </w:pPr>
            <w:r>
              <w:rPr>
                <w:rFonts w:ascii="Calibri" w:hAnsi="Calibri"/>
                <w:b/>
                <w:color w:val="FFFFFF"/>
                <w:sz w:val="20"/>
              </w:rPr>
              <w:t>Severity / Likelihood</w:t>
            </w:r>
          </w:p>
        </w:tc>
        <w:tc>
          <w:tcPr>
            <w:tcW w:type="dxa" w:w="3024"/>
            <w:shd w:fill="1A365D"/>
            <w:tcMar>
              <w:top w:w="120" w:type="dxa"/>
              <w:bottom w:w="120" w:type="dxa"/>
              <w:left w:w="140" w:type="dxa"/>
              <w:right w:w="140" w:type="dxa"/>
            </w:tcMar>
          </w:tcPr>
          <w:p>
            <w:pPr>
              <w:jc w:val="left"/>
            </w:pPr>
            <w:r>
              <w:rPr>
                <w:rFonts w:ascii="Calibri" w:hAnsi="Calibri"/>
                <w:b/>
                <w:color w:val="FFFFFF"/>
                <w:sz w:val="20"/>
              </w:rPr>
              <w:t>Contingency &amp; Fallback Strategy</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Model &amp; Concept Drift</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Shifting consumer slang and seasonal promotion jargon degrade classification accuracy silently.</w:t>
            </w:r>
          </w:p>
        </w:tc>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High / High</w:t>
            </w:r>
          </w:p>
        </w:tc>
        <w:tc>
          <w:tcPr>
            <w:tcW w:type="dxa" w:w="3024"/>
            <w:shd w:fill="FFFFFF"/>
            <w:tcMar>
              <w:top w:w="80" w:type="dxa"/>
              <w:bottom w:w="80" w:type="dxa"/>
              <w:left w:w="140" w:type="dxa"/>
              <w:right w:w="140" w:type="dxa"/>
            </w:tcMar>
          </w:tcPr>
          <w:p>
            <w:pPr>
              <w:spacing w:line="276" w:lineRule="auto" w:after="40" w:before="40"/>
            </w:pPr>
            <w:r>
              <w:rPr>
                <w:rFonts w:ascii="Calibri" w:hAnsi="Calibri"/>
                <w:color w:val="2D3748"/>
                <w:sz w:val="19"/>
              </w:rPr>
              <w:t>Automated PSI telemetry monitors; weekly shadow-scoring against ground-truth human audits; automated retraining pipelines.</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Inference Latency Spike / SLA Breach</w:t>
            </w:r>
          </w:p>
        </w:tc>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High-traffic flash sales spike request volume, exceeding the 20ms p95 latency budget.</w:t>
            </w:r>
          </w:p>
        </w:tc>
        <w:tc>
          <w:tcPr>
            <w:tcW w:type="dxa" w:w="1584"/>
            <w:shd w:fill="F7FAFC"/>
            <w:tcMar>
              <w:top w:w="80" w:type="dxa"/>
              <w:bottom w:w="80" w:type="dxa"/>
              <w:left w:w="140" w:type="dxa"/>
              <w:right w:w="140" w:type="dxa"/>
            </w:tcMar>
          </w:tcPr>
          <w:p>
            <w:pPr>
              <w:spacing w:line="276" w:lineRule="auto" w:after="40" w:before="40"/>
            </w:pPr>
            <w:r>
              <w:rPr>
                <w:rFonts w:ascii="Calibri" w:hAnsi="Calibri"/>
                <w:color w:val="2D3748"/>
                <w:sz w:val="19"/>
              </w:rPr>
              <w:t>High / Moderate</w:t>
            </w:r>
          </w:p>
        </w:tc>
        <w:tc>
          <w:tcPr>
            <w:tcW w:type="dxa" w:w="3024"/>
            <w:shd w:fill="F7FAFC"/>
            <w:tcMar>
              <w:top w:w="80" w:type="dxa"/>
              <w:bottom w:w="80" w:type="dxa"/>
              <w:left w:w="140" w:type="dxa"/>
              <w:right w:w="140" w:type="dxa"/>
            </w:tcMar>
          </w:tcPr>
          <w:p>
            <w:pPr>
              <w:spacing w:line="276" w:lineRule="auto" w:after="40" w:before="40"/>
            </w:pPr>
            <w:r>
              <w:rPr>
                <w:rFonts w:ascii="Calibri" w:hAnsi="Calibri"/>
                <w:color w:val="2D3748"/>
                <w:sz w:val="19"/>
              </w:rPr>
              <w:t>Redis caching for identical reviews; Tier 1 LinearSVC fast-path (&lt;12ms) absorbs 95% of traffic; circuit breaker sheds Tier 2 load.</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PII Data Ingestion Leakage</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Customer enters sensitive credit card or health details in review text, violating privacy laws.</w:t>
            </w:r>
          </w:p>
        </w:tc>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Critical / Moderate</w:t>
            </w:r>
          </w:p>
        </w:tc>
        <w:tc>
          <w:tcPr>
            <w:tcW w:type="dxa" w:w="3024"/>
            <w:shd w:fill="FFFFFF"/>
            <w:tcMar>
              <w:top w:w="80" w:type="dxa"/>
              <w:bottom w:w="80" w:type="dxa"/>
              <w:left w:w="140" w:type="dxa"/>
              <w:right w:w="140" w:type="dxa"/>
            </w:tcMar>
          </w:tcPr>
          <w:p>
            <w:pPr>
              <w:spacing w:line="276" w:lineRule="auto" w:after="40" w:before="40"/>
            </w:pPr>
            <w:r>
              <w:rPr>
                <w:rFonts w:ascii="Calibri" w:hAnsi="Calibri"/>
                <w:color w:val="2D3748"/>
                <w:sz w:val="19"/>
              </w:rPr>
              <w:t>Pre-ingress stateless PII sanitization regex scrubber; strictly zero raw text logging in telemetry databases.</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Adversarial Review Bombing</w:t>
            </w:r>
          </w:p>
        </w:tc>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Competitors or bots inject perturbed adversarial text (e.g., 'g00d but b.r.o.k.e.n') to bypass sentiment filters.</w:t>
            </w:r>
          </w:p>
        </w:tc>
        <w:tc>
          <w:tcPr>
            <w:tcW w:type="dxa" w:w="1584"/>
            <w:shd w:fill="F7FAFC"/>
            <w:tcMar>
              <w:top w:w="80" w:type="dxa"/>
              <w:bottom w:w="80" w:type="dxa"/>
              <w:left w:w="140" w:type="dxa"/>
              <w:right w:w="140" w:type="dxa"/>
            </w:tcMar>
          </w:tcPr>
          <w:p>
            <w:pPr>
              <w:spacing w:line="276" w:lineRule="auto" w:after="40" w:before="40"/>
            </w:pPr>
            <w:r>
              <w:rPr>
                <w:rFonts w:ascii="Calibri" w:hAnsi="Calibri"/>
                <w:color w:val="2D3748"/>
                <w:sz w:val="19"/>
              </w:rPr>
              <w:t>Moderate / Low</w:t>
            </w:r>
          </w:p>
        </w:tc>
        <w:tc>
          <w:tcPr>
            <w:tcW w:type="dxa" w:w="3024"/>
            <w:shd w:fill="F7FAFC"/>
            <w:tcMar>
              <w:top w:w="80" w:type="dxa"/>
              <w:bottom w:w="80" w:type="dxa"/>
              <w:left w:w="140" w:type="dxa"/>
              <w:right w:w="140" w:type="dxa"/>
            </w:tcMar>
          </w:tcPr>
          <w:p>
            <w:pPr>
              <w:spacing w:line="276" w:lineRule="auto" w:after="40" w:before="40"/>
            </w:pPr>
            <w:r>
              <w:rPr>
                <w:rFonts w:ascii="Calibri" w:hAnsi="Calibri"/>
                <w:color w:val="2D3748"/>
                <w:sz w:val="19"/>
              </w:rPr>
              <w:t>Character normalization; leetspeak and punctuation stripping in TextCleaner transformer; rate-limiting by client IP.</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False Alarm Fatigue for Support Teams</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Too many false positive negative classifications overwhelm customer support triage queues.</w:t>
            </w:r>
          </w:p>
        </w:tc>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Moderate / Moderate</w:t>
            </w:r>
          </w:p>
        </w:tc>
        <w:tc>
          <w:tcPr>
            <w:tcW w:type="dxa" w:w="3024"/>
            <w:shd w:fill="FFFFFF"/>
            <w:tcMar>
              <w:top w:w="80" w:type="dxa"/>
              <w:bottom w:w="80" w:type="dxa"/>
              <w:left w:w="140" w:type="dxa"/>
              <w:right w:w="140" w:type="dxa"/>
            </w:tcMar>
          </w:tcPr>
          <w:p>
            <w:pPr>
              <w:spacing w:line="276" w:lineRule="auto" w:after="40" w:before="40"/>
            </w:pPr>
            <w:r>
              <w:rPr>
                <w:rFonts w:ascii="Calibri" w:hAnsi="Calibri"/>
                <w:color w:val="2D3748"/>
                <w:sz w:val="19"/>
              </w:rPr>
              <w:t>Urgent escalation webhook is restricted strictly to Negative reviews with confidence ≥ 0.80 and verified churn intent keywords.</w:t>
            </w:r>
          </w:p>
        </w:tc>
      </w:tr>
    </w:tbl>
    <w:p>
      <w:pPr>
        <w:spacing w:after="120"/>
      </w:pPr>
    </w:p>
    <w:p>
      <w:pPr>
        <w:pStyle w:val="Heading1"/>
        <w:spacing w:before="280" w:after="80"/>
      </w:pPr>
      <w:r>
        <w:rPr>
          <w:b/>
          <w:color w:val="1A365D"/>
        </w:rPr>
        <w:t>5. Reflective Analysis of the 5-Week Internship Journey</w:t>
      </w:r>
    </w:p>
    <w:p>
      <w:r>
        <w:t>The 5-week YuvaIntern Machine Learning Virtual Internship provided an exceptional opportunity to experience the complete end-to-end lifecycle of an applied machine learning project. The transition from theoretical concepts to deployable software yielded profound technical insights:</w:t>
      </w:r>
    </w:p>
    <w:p>
      <w:pPr>
        <w:pStyle w:val="Heading2"/>
      </w:pPr>
      <w:r>
        <w:rPr>
          <w:color w:val="2B6CB0"/>
        </w:rPr>
        <w:t>5.1 Weekly Technical Progression &amp; Milestones</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3120"/>
        <w:gridCol w:w="3120"/>
        <w:gridCol w:w="3120"/>
      </w:tblGrid>
      <w:tr>
        <w:tc>
          <w:tcPr>
            <w:tcW w:type="dxa" w:w="1728"/>
            <w:shd w:fill="1A365D"/>
            <w:tcMar>
              <w:top w:w="120" w:type="dxa"/>
              <w:bottom w:w="120" w:type="dxa"/>
              <w:left w:w="140" w:type="dxa"/>
              <w:right w:w="140" w:type="dxa"/>
            </w:tcMar>
          </w:tcPr>
          <w:p>
            <w:pPr>
              <w:jc w:val="left"/>
            </w:pPr>
            <w:r>
              <w:rPr>
                <w:rFonts w:ascii="Calibri" w:hAnsi="Calibri"/>
                <w:b/>
                <w:color w:val="FFFFFF"/>
                <w:sz w:val="20"/>
              </w:rPr>
              <w:t>Sprint Week</w:t>
            </w:r>
          </w:p>
        </w:tc>
        <w:tc>
          <w:tcPr>
            <w:tcW w:type="dxa" w:w="3312"/>
            <w:shd w:fill="1A365D"/>
            <w:tcMar>
              <w:top w:w="120" w:type="dxa"/>
              <w:bottom w:w="120" w:type="dxa"/>
              <w:left w:w="140" w:type="dxa"/>
              <w:right w:w="140" w:type="dxa"/>
            </w:tcMar>
          </w:tcPr>
          <w:p>
            <w:pPr>
              <w:jc w:val="left"/>
            </w:pPr>
            <w:r>
              <w:rPr>
                <w:rFonts w:ascii="Calibri" w:hAnsi="Calibri"/>
                <w:b/>
                <w:color w:val="FFFFFF"/>
                <w:sz w:val="20"/>
              </w:rPr>
              <w:t>Core Technical Focus</w:t>
            </w:r>
          </w:p>
        </w:tc>
        <w:tc>
          <w:tcPr>
            <w:tcW w:type="dxa" w:w="4320"/>
            <w:shd w:fill="1A365D"/>
            <w:tcMar>
              <w:top w:w="120" w:type="dxa"/>
              <w:bottom w:w="120" w:type="dxa"/>
              <w:left w:w="140" w:type="dxa"/>
              <w:right w:w="140" w:type="dxa"/>
            </w:tcMar>
          </w:tcPr>
          <w:p>
            <w:pPr>
              <w:jc w:val="left"/>
            </w:pPr>
            <w:r>
              <w:rPr>
                <w:rFonts w:ascii="Calibri" w:hAnsi="Calibri"/>
                <w:b/>
                <w:color w:val="FFFFFF"/>
                <w:sz w:val="20"/>
              </w:rPr>
              <w:t>Key Milestone Achieved</w:t>
            </w:r>
          </w:p>
        </w:tc>
      </w:tr>
      <w:tr>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Week 1</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Project Planning &amp; Strategy Development</w:t>
            </w:r>
          </w:p>
        </w:tc>
        <w:tc>
          <w:tcPr>
            <w:tcW w:type="dxa" w:w="4320"/>
            <w:shd w:fill="FFFFFF"/>
            <w:tcMar>
              <w:top w:w="80" w:type="dxa"/>
              <w:bottom w:w="80" w:type="dxa"/>
              <w:left w:w="140" w:type="dxa"/>
              <w:right w:w="140" w:type="dxa"/>
            </w:tcMar>
          </w:tcPr>
          <w:p>
            <w:pPr>
              <w:spacing w:line="276" w:lineRule="auto" w:after="40" w:before="40"/>
            </w:pPr>
            <w:r>
              <w:rPr>
                <w:rFonts w:ascii="Calibri" w:hAnsi="Calibri"/>
                <w:color w:val="2D3748"/>
                <w:sz w:val="19"/>
              </w:rPr>
              <w:t>Formulated problem statement, hypotheses, 5-week roadmap, and official GitHub codebase.</w:t>
            </w:r>
          </w:p>
        </w:tc>
      </w:tr>
      <w:tr>
        <w:tc>
          <w:tcPr>
            <w:tcW w:type="dxa" w:w="1728"/>
            <w:shd w:fill="F7FAFC"/>
            <w:tcMar>
              <w:top w:w="80" w:type="dxa"/>
              <w:bottom w:w="80" w:type="dxa"/>
              <w:left w:w="140" w:type="dxa"/>
              <w:right w:w="140" w:type="dxa"/>
            </w:tcMar>
          </w:tcPr>
          <w:p>
            <w:pPr>
              <w:spacing w:line="276" w:lineRule="auto" w:after="40" w:before="40"/>
            </w:pPr>
            <w:r>
              <w:rPr>
                <w:rFonts w:ascii="Calibri" w:hAnsi="Calibri"/>
                <w:color w:val="2D3748"/>
                <w:sz w:val="19"/>
              </w:rPr>
              <w:t>Week 2</w:t>
            </w:r>
          </w:p>
        </w:tc>
        <w:tc>
          <w:tcPr>
            <w:tcW w:type="dxa" w:w="3312"/>
            <w:shd w:fill="F7FAFC"/>
            <w:tcMar>
              <w:top w:w="80" w:type="dxa"/>
              <w:bottom w:w="80" w:type="dxa"/>
              <w:left w:w="140" w:type="dxa"/>
              <w:right w:w="140" w:type="dxa"/>
            </w:tcMar>
          </w:tcPr>
          <w:p>
            <w:pPr>
              <w:spacing w:line="276" w:lineRule="auto" w:after="40" w:before="40"/>
            </w:pPr>
            <w:r>
              <w:rPr>
                <w:rFonts w:ascii="Calibri" w:hAnsi="Calibri"/>
                <w:color w:val="2D3748"/>
                <w:sz w:val="19"/>
              </w:rPr>
              <w:t>Algorithm Exploration &amp; Model Design</w:t>
            </w:r>
          </w:p>
        </w:tc>
        <w:tc>
          <w:tcPr>
            <w:tcW w:type="dxa" w:w="4320"/>
            <w:shd w:fill="F7FAFC"/>
            <w:tcMar>
              <w:top w:w="80" w:type="dxa"/>
              <w:bottom w:w="80" w:type="dxa"/>
              <w:left w:w="140" w:type="dxa"/>
              <w:right w:w="140" w:type="dxa"/>
            </w:tcMar>
          </w:tcPr>
          <w:p>
            <w:pPr>
              <w:spacing w:line="276" w:lineRule="auto" w:after="40" w:before="40"/>
            </w:pPr>
            <w:r>
              <w:rPr>
                <w:rFonts w:ascii="Calibri" w:hAnsi="Calibri"/>
                <w:color w:val="2D3748"/>
                <w:sz w:val="19"/>
              </w:rPr>
              <w:t>Benchmarked 5 candidate ML algorithms; designed dual-tier LinearSVC + DistilBERT architecture.</w:t>
            </w:r>
          </w:p>
        </w:tc>
      </w:tr>
      <w:tr>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Week 3</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Experimental Setup &amp; Metric Formulation</w:t>
            </w:r>
          </w:p>
        </w:tc>
        <w:tc>
          <w:tcPr>
            <w:tcW w:type="dxa" w:w="4320"/>
            <w:shd w:fill="FFFFFF"/>
            <w:tcMar>
              <w:top w:w="80" w:type="dxa"/>
              <w:bottom w:w="80" w:type="dxa"/>
              <w:left w:w="140" w:type="dxa"/>
              <w:right w:w="140" w:type="dxa"/>
            </w:tcMar>
          </w:tcPr>
          <w:p>
            <w:pPr>
              <w:spacing w:line="276" w:lineRule="auto" w:after="40" w:before="40"/>
            </w:pPr>
            <w:r>
              <w:rPr>
                <w:rFonts w:ascii="Calibri" w:hAnsi="Calibri"/>
                <w:color w:val="2D3748"/>
                <w:sz w:val="19"/>
              </w:rPr>
              <w:t>Formulated asymmetric loss metrics (Macro F1, Negative Recall); designed leakage-free 5-fold CV.</w:t>
            </w:r>
          </w:p>
        </w:tc>
      </w:tr>
      <w:tr>
        <w:tc>
          <w:tcPr>
            <w:tcW w:type="dxa" w:w="1728"/>
            <w:shd w:fill="F7FAFC"/>
            <w:tcMar>
              <w:top w:w="80" w:type="dxa"/>
              <w:bottom w:w="80" w:type="dxa"/>
              <w:left w:w="140" w:type="dxa"/>
              <w:right w:w="140" w:type="dxa"/>
            </w:tcMar>
          </w:tcPr>
          <w:p>
            <w:pPr>
              <w:spacing w:line="276" w:lineRule="auto" w:after="40" w:before="40"/>
            </w:pPr>
            <w:r>
              <w:rPr>
                <w:rFonts w:ascii="Calibri" w:hAnsi="Calibri"/>
                <w:color w:val="2D3748"/>
                <w:sz w:val="19"/>
              </w:rPr>
              <w:t>Week 4</w:t>
            </w:r>
          </w:p>
        </w:tc>
        <w:tc>
          <w:tcPr>
            <w:tcW w:type="dxa" w:w="3312"/>
            <w:shd w:fill="F7FAFC"/>
            <w:tcMar>
              <w:top w:w="80" w:type="dxa"/>
              <w:bottom w:w="80" w:type="dxa"/>
              <w:left w:w="140" w:type="dxa"/>
              <w:right w:w="140" w:type="dxa"/>
            </w:tcMar>
          </w:tcPr>
          <w:p>
            <w:pPr>
              <w:spacing w:line="276" w:lineRule="auto" w:after="40" w:before="40"/>
            </w:pPr>
            <w:r>
              <w:rPr>
                <w:rFonts w:ascii="Calibri" w:hAnsi="Calibri"/>
                <w:color w:val="2D3748"/>
                <w:sz w:val="19"/>
              </w:rPr>
              <w:t>Code Architecture &amp; Modular Pipelines</w:t>
            </w:r>
          </w:p>
        </w:tc>
        <w:tc>
          <w:tcPr>
            <w:tcW w:type="dxa" w:w="4320"/>
            <w:shd w:fill="F7FAFC"/>
            <w:tcMar>
              <w:top w:w="80" w:type="dxa"/>
              <w:bottom w:w="80" w:type="dxa"/>
              <w:left w:w="140" w:type="dxa"/>
              <w:right w:w="140" w:type="dxa"/>
            </w:tcMar>
          </w:tcPr>
          <w:p>
            <w:pPr>
              <w:spacing w:line="276" w:lineRule="auto" w:after="40" w:before="40"/>
            </w:pPr>
            <w:r>
              <w:rPr>
                <w:rFonts w:ascii="Calibri" w:hAnsi="Calibri"/>
                <w:color w:val="2D3748"/>
                <w:sz w:val="19"/>
              </w:rPr>
              <w:t>Engineered SOLID-compliant packages (`preprocessor`, `trainer`, `inference`); built 100% passing unit tests.</w:t>
            </w:r>
          </w:p>
        </w:tc>
      </w:tr>
      <w:tr>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Week 5</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Deployment, Ethics &amp; Capstone Showcase</w:t>
            </w:r>
          </w:p>
        </w:tc>
        <w:tc>
          <w:tcPr>
            <w:tcW w:type="dxa" w:w="4320"/>
            <w:shd w:fill="FFFFFF"/>
            <w:tcMar>
              <w:top w:w="80" w:type="dxa"/>
              <w:bottom w:w="80" w:type="dxa"/>
              <w:left w:w="140" w:type="dxa"/>
              <w:right w:w="140" w:type="dxa"/>
            </w:tcMar>
          </w:tcPr>
          <w:p>
            <w:pPr>
              <w:spacing w:line="276" w:lineRule="auto" w:after="40" w:before="40"/>
            </w:pPr>
            <w:r>
              <w:rPr>
                <w:rFonts w:ascii="Calibri" w:hAnsi="Calibri"/>
                <w:color w:val="2D3748"/>
                <w:sz w:val="19"/>
              </w:rPr>
              <w:t>Architected cloud MLOps deployment, Responsible AI governance, Streamlit web app, and capstone report.</w:t>
            </w:r>
          </w:p>
        </w:tc>
      </w:tr>
    </w:tbl>
    <w:p>
      <w:pPr>
        <w:spacing w:after="120"/>
      </w:pPr>
    </w:p>
    <w:p>
      <w:pPr>
        <w:pStyle w:val="Heading2"/>
      </w:pPr>
      <w:r>
        <w:rPr>
          <w:color w:val="2B6CB0"/>
        </w:rPr>
        <w:t>5.2 Key Insights Gained &amp; Challenges Overcome</w:t>
      </w:r>
    </w:p>
    <w:p>
      <w:pPr>
        <w:pStyle w:val="ListBullet"/>
        <w:spacing w:after="60"/>
      </w:pPr>
      <w:r>
        <w:rPr>
          <w:b/>
          <w:color w:val="1A365D"/>
        </w:rPr>
        <w:t xml:space="preserve">The Pitfall of Naive Accuracy: </w:t>
      </w:r>
      <w:r>
        <w:t>Early in the project, overall accuracy appeared deceptively high (~75%), yet the model completely missed low-frequency negative reviews. Transitioning to Macro F1 and Negative Class Recall completely refocused our optimization on true business value.</w:t>
      </w:r>
    </w:p>
    <w:p>
      <w:pPr>
        <w:pStyle w:val="ListBullet"/>
        <w:spacing w:after="60"/>
      </w:pPr>
      <w:r>
        <w:rPr>
          <w:b/>
          <w:color w:val="1A365D"/>
        </w:rPr>
        <w:t xml:space="preserve">Preventing Training-Serving Skew: </w:t>
      </w:r>
      <w:r>
        <w:t>A common failure in ML engineering is maintaining separate cleaning scripts for training and production. By wrapping `TextCleaner` as a Scikit-Learn `BaseEstimator` inside the serialized `Pipeline`, we ensured identical text transformations in training and production.</w:t>
      </w:r>
    </w:p>
    <w:p>
      <w:pPr>
        <w:pStyle w:val="ListBullet"/>
        <w:spacing w:after="60"/>
      </w:pPr>
      <w:r>
        <w:rPr>
          <w:b/>
          <w:color w:val="1A365D"/>
        </w:rPr>
        <w:t xml:space="preserve">The Efficiency of Dual-Tier Architecture: </w:t>
      </w:r>
      <w:r>
        <w:t>Deploying massive transformer models for every request is computationally wasteful. Our dual-tiered design demonstrates that lightweight linear models (LinearSVC) can handle 95% of traffic with microsecond latency, reserving deep learning only for low-confidence ambiguities.</w:t>
      </w:r>
    </w:p>
    <w:p>
      <w:pPr>
        <w:pStyle w:val="Heading2"/>
      </w:pPr>
      <w:r>
        <w:rPr>
          <w:color w:val="2B6CB0"/>
        </w:rPr>
        <w:t>5.3 Future Roadmap &amp; Technical Enhancements</w:t>
      </w:r>
    </w:p>
    <w:p>
      <w:r>
        <w:t>Looking forward, IntelliFeedback is primed for three advanced technical horizons: (1) Multilingual Adaptation by fine-tuning multilingual representations (XLM-RoBERTa) to support international customer reviews across Spanish, German, and Hindi; (2) Aspect-Based Sentiment Analysis (ABSA) decomposing reviews into specific operational categories (e.g., Shipping vs. Product Quality vs. Customer Service); and (3) Active Learning feedback loops enabling customer support agents to flag misclassifications with one click, continuously retraining models.</w:t>
      </w:r>
    </w:p>
    <w:p>
      <w:pPr>
        <w:pStyle w:val="Heading1"/>
        <w:spacing w:before="280" w:after="80"/>
      </w:pPr>
      <w:r>
        <w:rPr>
          <w:b/>
          <w:color w:val="1A365D"/>
        </w:rPr>
        <w:t>6. Conclusion &amp; Internship Completion</w:t>
      </w:r>
    </w:p>
    <w:p>
      <w:r>
        <w:t>Through the 5-week YuvaIntern Machine Learning Virtual Internship, the IntelliFeedback platform evolved from an initial concept into a complete, production-ready, and ethically grounded machine learning solution. The resulting platform delivers a high-accuracy, low-latency sentiment intelligence engine backed by rigorous experimental validation, clean software architecture, and responsible AI governance. This project showcases a comprehensive understanding of end-to-end applied machine learning engineering suitable for modern enterprise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