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2B6CB0"/>
          <w:sz w:val="19"/>
        </w:rPr>
        <w:t>Yuvaintern Virtual ML Internship | Week 3 Technical Deliverable</w:t>
        <w:br/>
      </w:r>
      <w:r>
        <w:rPr>
          <w:b/>
          <w:color w:val="1A365D"/>
          <w:sz w:val="44"/>
        </w:rPr>
        <w:t>Experimental Design &amp; Evaluation Metric Formulation</w:t>
      </w:r>
    </w:p>
    <w:p>
      <w:pPr>
        <w:spacing w:after="280"/>
      </w:pPr>
      <w:r>
        <w:rPr>
          <w:i/>
          <w:color w:val="4A5568"/>
          <w:sz w:val="25"/>
        </w:rPr>
        <w:t>A Methodological Validation Framework: Stratified Protocols, Multi-Class Error Analysis, and Metric Alignment for IntelliFeedback</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160"/>
            <w:shd w:fill="2B6CB0"/>
            <w:tcMar>
              <w:top w:w="120" w:type="dxa"/>
              <w:bottom w:w="120" w:type="dxa"/>
              <w:left w:w="140" w:type="dxa"/>
              <w:right w:w="140" w:type="dxa"/>
            </w:tcMar>
          </w:tcPr>
          <w:p>
            <w:pPr>
              <w:jc w:val="left"/>
            </w:pPr>
            <w:r>
              <w:rPr>
                <w:rFonts w:ascii="Calibri" w:hAnsi="Calibri"/>
                <w:b/>
                <w:color w:val="FFFFFF"/>
                <w:sz w:val="20"/>
              </w:rPr>
              <w:t>Internship Sprint</w:t>
            </w:r>
          </w:p>
        </w:tc>
        <w:tc>
          <w:tcPr>
            <w:tcW w:type="dxa" w:w="2160"/>
            <w:shd w:fill="2B6CB0"/>
            <w:tcMar>
              <w:top w:w="120" w:type="dxa"/>
              <w:bottom w:w="120" w:type="dxa"/>
              <w:left w:w="140" w:type="dxa"/>
              <w:right w:w="140" w:type="dxa"/>
            </w:tcMar>
          </w:tcPr>
          <w:p>
            <w:pPr>
              <w:jc w:val="left"/>
            </w:pPr>
            <w:r>
              <w:rPr>
                <w:rFonts w:ascii="Calibri" w:hAnsi="Calibri"/>
                <w:b/>
                <w:color w:val="FFFFFF"/>
                <w:sz w:val="20"/>
              </w:rPr>
              <w:t>Track</w:t>
            </w:r>
          </w:p>
        </w:tc>
        <w:tc>
          <w:tcPr>
            <w:tcW w:type="dxa" w:w="3312"/>
            <w:shd w:fill="2B6CB0"/>
            <w:tcMar>
              <w:top w:w="120" w:type="dxa"/>
              <w:bottom w:w="120" w:type="dxa"/>
              <w:left w:w="140" w:type="dxa"/>
              <w:right w:w="140" w:type="dxa"/>
            </w:tcMar>
          </w:tcPr>
          <w:p>
            <w:pPr>
              <w:jc w:val="left"/>
            </w:pPr>
            <w:r>
              <w:rPr>
                <w:rFonts w:ascii="Calibri" w:hAnsi="Calibri"/>
                <w:b/>
                <w:color w:val="FFFFFF"/>
                <w:sz w:val="20"/>
              </w:rPr>
              <w:t>Deliverable Type</w:t>
            </w:r>
          </w:p>
        </w:tc>
        <w:tc>
          <w:tcPr>
            <w:tcW w:type="dxa" w:w="1728"/>
            <w:shd w:fill="2B6CB0"/>
            <w:tcMar>
              <w:top w:w="120" w:type="dxa"/>
              <w:bottom w:w="120" w:type="dxa"/>
              <w:left w:w="140" w:type="dxa"/>
              <w:right w:w="140" w:type="dxa"/>
            </w:tcMar>
          </w:tcPr>
          <w:p>
            <w:pPr>
              <w:jc w:val="left"/>
            </w:pPr>
            <w:r>
              <w:rPr>
                <w:rFonts w:ascii="Calibri" w:hAnsi="Calibri"/>
                <w:b/>
                <w:color w:val="FFFFFF"/>
                <w:sz w:val="20"/>
              </w:rPr>
              <w:t>Target Project</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Week 3 of 5</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Machine Learning (ML)</w:t>
            </w:r>
          </w:p>
        </w:tc>
        <w:tc>
          <w:tcPr>
            <w:tcW w:type="dxa" w:w="3312"/>
            <w:shd w:fill="FFFFFF"/>
            <w:tcMar>
              <w:top w:w="80" w:type="dxa"/>
              <w:bottom w:w="80" w:type="dxa"/>
              <w:left w:w="140" w:type="dxa"/>
              <w:right w:w="140" w:type="dxa"/>
            </w:tcMar>
          </w:tcPr>
          <w:p>
            <w:pPr>
              <w:spacing w:line="276" w:lineRule="auto" w:after="40" w:before="40"/>
            </w:pPr>
            <w:r>
              <w:rPr>
                <w:rFonts w:ascii="Calibri" w:hAnsi="Calibri"/>
                <w:color w:val="2D3748"/>
                <w:sz w:val="19"/>
              </w:rPr>
              <w:t>Experimental Protocol &amp; Metric Design</w:t>
            </w:r>
          </w:p>
        </w:tc>
        <w:tc>
          <w:tcPr>
            <w:tcW w:type="dxa" w:w="1728"/>
            <w:shd w:fill="FFFFFF"/>
            <w:tcMar>
              <w:top w:w="80" w:type="dxa"/>
              <w:bottom w:w="80" w:type="dxa"/>
              <w:left w:w="140" w:type="dxa"/>
              <w:right w:w="140" w:type="dxa"/>
            </w:tcMar>
          </w:tcPr>
          <w:p>
            <w:pPr>
              <w:spacing w:line="276" w:lineRule="auto" w:after="40" w:before="40"/>
            </w:pPr>
            <w:r>
              <w:rPr>
                <w:rFonts w:ascii="Calibri" w:hAnsi="Calibri"/>
                <w:color w:val="2D3748"/>
                <w:sz w:val="19"/>
              </w:rPr>
              <w:t>IntelliFeedback (NLP Engine)</w:t>
            </w:r>
          </w:p>
        </w:tc>
      </w:tr>
    </w:tbl>
    <w:p>
      <w:pPr>
        <w:spacing w:after="160"/>
      </w:pPr>
    </w:p>
    <w:p>
      <w:pPr>
        <w:pStyle w:val="Heading1"/>
        <w:spacing w:before="280" w:after="80"/>
      </w:pPr>
      <w:r>
        <w:rPr>
          <w:b/>
          <w:color w:val="1A365D"/>
        </w:rPr>
        <w:t>1. Executive Summary &amp; Experimental Objectives</w:t>
      </w:r>
    </w:p>
    <w:p>
      <w:r>
        <w:t>A machine learning architecture is only as sound as the empirical framework deployed to measure its performance. Following the algorithm exploration and preliminary design conducted in Week 2, the objective of Week 3 is to establish a statistically rigorous, reproducible, and objective experimental methodology for validating the IntelliFeedback sentiment intelligence platform.</w:t>
      </w:r>
    </w:p>
    <w:p>
      <w:r>
        <w:t>In enterprise text classification, naïve evaluation strategies—such as evaluating models using standard classification accuracy or unstratified random train-test splits—consistently introduce severe optimistic bias, obscure failures on minority classes, and permit subtle data leakage. This document formulates an end-to-end experimental protocol: defining multi-dimensional evaluation metrics tailored for asymmetric business loss, structuring a leakage-free stratified cross-validation pipeline, defining systematic error analysis taxonomies, and outlining contingency plans for anticipated experimental risks.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top w:val="none"/>
              <w:left w:val="single" w:sz="24" w:space="0" w:color="1A365D"/>
              <w:bottom w:val="none"/>
              <w:right w:val="none"/>
            </w:tcBorders>
          </w:tcPr>
          <w:p>
            <w:pPr>
              <w:spacing w:before="40" w:after="40" w:line="276" w:lineRule="auto"/>
            </w:pPr>
            <w:r>
              <w:rPr>
                <w:rFonts w:ascii="Calibri" w:hAnsi="Calibri"/>
                <w:b/>
                <w:color w:val="1A365D"/>
                <w:sz w:val="21"/>
              </w:rPr>
              <w:t xml:space="preserve">📌 ASYMMETRIC LOSS PRINCIPLE: </w:t>
            </w:r>
            <w:r>
              <w:rPr>
                <w:rFonts w:ascii="Calibri" w:hAnsi="Calibri"/>
                <w:i/>
                <w:color w:val="2D3748"/>
                <w:sz w:val="21"/>
              </w:rPr>
              <w:t>In customer feedback classification, the cost of a False Negative on severe dissatisfaction (missed churn signal) is 5x to 10x higher than a False Positive. Consequently, our experimental design elevates Class 0 (Negative) Recall and Macro F1-score as paramount optimization objectives over aggregate accuracy.</w:t>
            </w:r>
          </w:p>
        </w:tc>
      </w:tr>
    </w:tbl>
    <w:p>
      <w:pPr>
        <w:spacing w:after="80"/>
      </w:pPr>
    </w:p>
    <w:p>
      <w:pPr>
        <w:pStyle w:val="Heading1"/>
        <w:spacing w:before="280" w:after="80"/>
      </w:pPr>
      <w:r>
        <w:rPr>
          <w:b/>
          <w:color w:val="1A365D"/>
        </w:rPr>
        <w:t>2. Comprehensive Formulation of Evaluation Metrics</w:t>
      </w:r>
    </w:p>
    <w:p>
      <w:r>
        <w:t>To capture every dimension of model behavior—from discrimination ability and probability calibration to operational latency—we establish the following evaluation suite:</w:t>
      </w:r>
    </w:p>
    <w:p>
      <w:pPr>
        <w:pStyle w:val="Heading2"/>
      </w:pPr>
      <w:r>
        <w:rPr>
          <w:color w:val="2B6CB0"/>
        </w:rPr>
        <w:t>2.1 Overall Accuracy vs. Balanced Accuracy</w:t>
      </w:r>
    </w:p>
    <w:p>
      <w:r>
        <w:t>Overall Accuracy measures the fraction of all correct predictions: Accuracy = (TP + TN) / (TP + TN + FP + FN). However, in consumer review corpora, positive reviews characteristically dominate (~65-75% of total volume), while neutral (~10-15%) and negative (~15-20%) reviews form a distinct minority. A degenerate classifier predicting 'Positive' indiscriminately could achieve 75% accuracy while failing 100% of negative churn warnings.</w:t>
      </w:r>
    </w:p>
    <w:p>
      <w:r>
        <w:t>To guard against this majority-class delusion, we incorporate Balanced Accuracy, defined as the unweighted macro-average of recall obtained on each individual class: Balanced Accuracy = 1/K ∑_k (TP_k / (TP_k + FN_k)). It guarantees that performance on rare negative feedback is weighted identically to common positive feedback.</w:t>
      </w:r>
    </w:p>
    <w:p>
      <w:pPr>
        <w:pStyle w:val="Heading2"/>
      </w:pPr>
      <w:r>
        <w:rPr>
          <w:color w:val="2B6CB0"/>
        </w:rPr>
        <w:t>2.2 Precision, Recall, and Macro-Averaged F1-Score</w:t>
      </w:r>
    </w:p>
    <w:p>
      <w:r>
        <w:t>For multiclass sentiment (k ∈ {Negative, Neutral, Positive}):</w:t>
      </w:r>
    </w:p>
    <w:p>
      <w:pPr>
        <w:pStyle w:val="ListBullet"/>
      </w:pPr>
      <w:r>
        <w:rPr>
          <w:b/>
        </w:rPr>
        <w:t xml:space="preserve">Precision (Positive Predictive Value): </w:t>
      </w:r>
      <w:r>
        <w:t>Precision_k = TP_k / (TP_k + FP_k). Measures the purity of alarms. High precision ensures support agents do not waste time investigating false alarms.</w:t>
      </w:r>
    </w:p>
    <w:p>
      <w:pPr>
        <w:pStyle w:val="ListBullet"/>
      </w:pPr>
      <w:r>
        <w:rPr>
          <w:b/>
        </w:rPr>
        <w:t xml:space="preserve">Recall (Sensitivity): </w:t>
      </w:r>
      <w:r>
        <w:t>Recall_k = TP_k / (TP_k + FN_k). Measures coverage. For the Negative class, Recall is critical to ensure no defective product reviews bypass retention queues.</w:t>
      </w:r>
    </w:p>
    <w:p>
      <w:pPr>
        <w:pStyle w:val="ListBullet"/>
      </w:pPr>
      <w:r>
        <w:rPr>
          <w:b/>
        </w:rPr>
        <w:t xml:space="preserve">Macro F1-Score: </w:t>
      </w:r>
      <w:r>
        <w:t>Macro F1 = 1/3 (F1_neg + F1_neu + F1_pos), where F1_k = 2 · (Prec_k · Rec_k) / (Prec_k + Rec_k). Unlike Weighted F1 (which weights scores by class frequency, biasing results towards the majority), Macro F1 treats all three sentiment classes with equal importance.</w:t>
      </w:r>
    </w:p>
    <w:p>
      <w:pPr>
        <w:pStyle w:val="Heading2"/>
      </w:pPr>
      <w:r>
        <w:rPr>
          <w:color w:val="2B6CB0"/>
        </w:rPr>
        <w:t>2.3 Probabilistic Calibration &amp; Operational Service-Level Metrics</w:t>
      </w:r>
    </w:p>
    <w:p>
      <w:r>
        <w:t>Because our architecture features a confidence-based routing layer (Tier 1 fast-path vs. Tier 2 DistilBERT escalation), the raw probability outputs must reflect true empirical likelihoods (well-calibrated probabilities):</w:t>
      </w:r>
    </w:p>
    <w:p>
      <w:pPr>
        <w:pStyle w:val="ListBullet"/>
      </w:pPr>
      <w:r>
        <w:rPr>
          <w:b/>
        </w:rPr>
        <w:t xml:space="preserve">Multiclass ROC-AUC (One-vs-Rest): </w:t>
      </w:r>
      <w:r>
        <w:t>Evaluates the degree of class separability across all possible decision thresholds, computing the macro-average of pairwise OvR ROC areas.</w:t>
      </w:r>
    </w:p>
    <w:p>
      <w:pPr>
        <w:pStyle w:val="ListBullet"/>
      </w:pPr>
      <w:r>
        <w:rPr>
          <w:b/>
        </w:rPr>
        <w:t xml:space="preserve">Log-Loss (Cross-Entropy): </w:t>
      </w:r>
      <w:r>
        <w:t>LogLoss = - 1/N ∑_i ∑_k y_{i,k} log(p_{i,k}). Heavily penalizes overconfident incorrect classifications.</w:t>
      </w:r>
    </w:p>
    <w:p>
      <w:pPr>
        <w:pStyle w:val="ListBullet"/>
      </w:pPr>
      <w:r>
        <w:rPr>
          <w:b/>
        </w:rPr>
        <w:t xml:space="preserve">Inference Latency (p95): </w:t>
      </w:r>
      <w:r>
        <w:t>The 95th percentile execution time per single review prediction in milliseconds, ensuring sub-second response times under concurrent load.</w:t>
      </w:r>
    </w:p>
    <w:p>
      <w:pPr>
        <w:pStyle w:val="Heading2"/>
      </w:pPr>
      <w:r>
        <w:rPr>
          <w:color w:val="2B6CB0"/>
        </w:rPr>
        <w:t>2.4 Consolidated Evaluation Metric Matrix</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1872"/>
        <w:gridCol w:w="1872"/>
        <w:gridCol w:w="1872"/>
        <w:gridCol w:w="1872"/>
        <w:gridCol w:w="1872"/>
      </w:tblGrid>
      <w:tr>
        <w:tc>
          <w:tcPr>
            <w:tcW w:type="dxa" w:w="1872"/>
            <w:shd w:fill="1A365D"/>
            <w:tcMar>
              <w:top w:w="120" w:type="dxa"/>
              <w:bottom w:w="120" w:type="dxa"/>
              <w:left w:w="140" w:type="dxa"/>
              <w:right w:w="140" w:type="dxa"/>
            </w:tcMar>
          </w:tcPr>
          <w:p>
            <w:pPr>
              <w:jc w:val="left"/>
            </w:pPr>
            <w:r>
              <w:rPr>
                <w:rFonts w:ascii="Calibri" w:hAnsi="Calibri"/>
                <w:b/>
                <w:color w:val="FFFFFF"/>
                <w:sz w:val="20"/>
              </w:rPr>
              <w:t>Metric Name</w:t>
            </w:r>
          </w:p>
        </w:tc>
        <w:tc>
          <w:tcPr>
            <w:tcW w:type="dxa" w:w="2304"/>
            <w:shd w:fill="1A365D"/>
            <w:tcMar>
              <w:top w:w="120" w:type="dxa"/>
              <w:bottom w:w="120" w:type="dxa"/>
              <w:left w:w="140" w:type="dxa"/>
              <w:right w:w="140" w:type="dxa"/>
            </w:tcMar>
          </w:tcPr>
          <w:p>
            <w:pPr>
              <w:jc w:val="left"/>
            </w:pPr>
            <w:r>
              <w:rPr>
                <w:rFonts w:ascii="Calibri" w:hAnsi="Calibri"/>
                <w:b/>
                <w:color w:val="FFFFFF"/>
                <w:sz w:val="20"/>
              </w:rPr>
              <w:t>Mathematical Expression</w:t>
            </w:r>
          </w:p>
        </w:tc>
        <w:tc>
          <w:tcPr>
            <w:tcW w:type="dxa" w:w="1296"/>
            <w:shd w:fill="1A365D"/>
            <w:tcMar>
              <w:top w:w="120" w:type="dxa"/>
              <w:bottom w:w="120" w:type="dxa"/>
              <w:left w:w="140" w:type="dxa"/>
              <w:right w:w="140" w:type="dxa"/>
            </w:tcMar>
          </w:tcPr>
          <w:p>
            <w:pPr>
              <w:jc w:val="left"/>
            </w:pPr>
            <w:r>
              <w:rPr>
                <w:rFonts w:ascii="Calibri" w:hAnsi="Calibri"/>
                <w:b/>
                <w:color w:val="FFFFFF"/>
                <w:sz w:val="20"/>
              </w:rPr>
              <w:t>Optimization Goal</w:t>
            </w:r>
          </w:p>
        </w:tc>
        <w:tc>
          <w:tcPr>
            <w:tcW w:type="dxa" w:w="2736"/>
            <w:shd w:fill="1A365D"/>
            <w:tcMar>
              <w:top w:w="120" w:type="dxa"/>
              <w:bottom w:w="120" w:type="dxa"/>
              <w:left w:w="140" w:type="dxa"/>
              <w:right w:w="140" w:type="dxa"/>
            </w:tcMar>
          </w:tcPr>
          <w:p>
            <w:pPr>
              <w:jc w:val="left"/>
            </w:pPr>
            <w:r>
              <w:rPr>
                <w:rFonts w:ascii="Calibri" w:hAnsi="Calibri"/>
                <w:b/>
                <w:color w:val="FFFFFF"/>
                <w:sz w:val="20"/>
              </w:rPr>
              <w:t>Strategic Business Rationale</w:t>
            </w:r>
          </w:p>
        </w:tc>
        <w:tc>
          <w:tcPr>
            <w:tcW w:type="dxa" w:w="1152"/>
            <w:shd w:fill="1A365D"/>
            <w:tcMar>
              <w:top w:w="120" w:type="dxa"/>
              <w:bottom w:w="120" w:type="dxa"/>
              <w:left w:w="140" w:type="dxa"/>
              <w:right w:w="140" w:type="dxa"/>
            </w:tcMar>
          </w:tcPr>
          <w:p>
            <w:pPr>
              <w:jc w:val="left"/>
            </w:pPr>
            <w:r>
              <w:rPr>
                <w:rFonts w:ascii="Calibri" w:hAnsi="Calibri"/>
                <w:b/>
                <w:color w:val="FFFFFF"/>
                <w:sz w:val="20"/>
              </w:rPr>
              <w:t>Target KPI</w:t>
            </w:r>
          </w:p>
        </w:tc>
      </w:tr>
      <w:tr>
        <w:tc>
          <w:tcPr>
            <w:tcW w:type="dxa" w:w="1872"/>
            <w:shd w:fill="FFFFFF"/>
            <w:tcMar>
              <w:top w:w="80" w:type="dxa"/>
              <w:bottom w:w="80" w:type="dxa"/>
              <w:left w:w="140" w:type="dxa"/>
              <w:right w:w="140" w:type="dxa"/>
            </w:tcMar>
          </w:tcPr>
          <w:p>
            <w:pPr>
              <w:spacing w:line="276" w:lineRule="auto" w:after="40" w:before="40"/>
            </w:pPr>
            <w:r>
              <w:rPr>
                <w:rFonts w:ascii="Calibri" w:hAnsi="Calibri"/>
                <w:color w:val="2D3748"/>
                <w:sz w:val="19"/>
              </w:rPr>
              <w:t>Macro F1-Score</w:t>
            </w:r>
          </w:p>
        </w:tc>
        <w:tc>
          <w:tcPr>
            <w:tcW w:type="dxa" w:w="2304"/>
            <w:shd w:fill="FFFFFF"/>
            <w:tcMar>
              <w:top w:w="80" w:type="dxa"/>
              <w:bottom w:w="80" w:type="dxa"/>
              <w:left w:w="140" w:type="dxa"/>
              <w:right w:w="140" w:type="dxa"/>
            </w:tcMar>
          </w:tcPr>
          <w:p>
            <w:pPr>
              <w:spacing w:line="276" w:lineRule="auto" w:after="40" w:before="40"/>
            </w:pPr>
            <w:r>
              <w:rPr>
                <w:rFonts w:ascii="Calibri" w:hAnsi="Calibri"/>
                <w:color w:val="2D3748"/>
                <w:sz w:val="19"/>
              </w:rPr>
              <w:t>1/K ∑ [2·P_k·R_k / (P_k + R_k)]</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Maximize</w:t>
            </w:r>
          </w:p>
        </w:tc>
        <w:tc>
          <w:tcPr>
            <w:tcW w:type="dxa" w:w="2736"/>
            <w:shd w:fill="FFFFFF"/>
            <w:tcMar>
              <w:top w:w="80" w:type="dxa"/>
              <w:bottom w:w="80" w:type="dxa"/>
              <w:left w:w="140" w:type="dxa"/>
              <w:right w:w="140" w:type="dxa"/>
            </w:tcMar>
          </w:tcPr>
          <w:p>
            <w:pPr>
              <w:spacing w:line="276" w:lineRule="auto" w:after="40" w:before="40"/>
            </w:pPr>
            <w:r>
              <w:rPr>
                <w:rFonts w:ascii="Calibri" w:hAnsi="Calibri"/>
                <w:color w:val="2D3748"/>
                <w:sz w:val="19"/>
              </w:rPr>
              <w:t>Equal evaluation weight across all classes; guards against class collapse.</w:t>
            </w:r>
          </w:p>
        </w:tc>
        <w:tc>
          <w:tcPr>
            <w:tcW w:type="dxa" w:w="1152"/>
            <w:shd w:fill="FFFFFF"/>
            <w:tcMar>
              <w:top w:w="80" w:type="dxa"/>
              <w:bottom w:w="80" w:type="dxa"/>
              <w:left w:w="140" w:type="dxa"/>
              <w:right w:w="140" w:type="dxa"/>
            </w:tcMar>
          </w:tcPr>
          <w:p>
            <w:pPr>
              <w:spacing w:line="276" w:lineRule="auto" w:after="40" w:before="40"/>
            </w:pPr>
            <w:r>
              <w:rPr>
                <w:rFonts w:ascii="Calibri" w:hAnsi="Calibri"/>
                <w:color w:val="2D3748"/>
                <w:sz w:val="19"/>
              </w:rPr>
              <w:t>≥ 0.88</w:t>
            </w:r>
          </w:p>
        </w:tc>
      </w:tr>
      <w:tr>
        <w:tc>
          <w:tcPr>
            <w:tcW w:type="dxa" w:w="1872"/>
            <w:shd w:fill="F7FAFC"/>
            <w:tcMar>
              <w:top w:w="80" w:type="dxa"/>
              <w:bottom w:w="80" w:type="dxa"/>
              <w:left w:w="140" w:type="dxa"/>
              <w:right w:w="140" w:type="dxa"/>
            </w:tcMar>
          </w:tcPr>
          <w:p>
            <w:pPr>
              <w:spacing w:line="276" w:lineRule="auto" w:after="40" w:before="40"/>
            </w:pPr>
            <w:r>
              <w:rPr>
                <w:rFonts w:ascii="Calibri" w:hAnsi="Calibri"/>
                <w:color w:val="2D3748"/>
                <w:sz w:val="19"/>
              </w:rPr>
              <w:t>Negative Recall</w:t>
            </w:r>
          </w:p>
        </w:tc>
        <w:tc>
          <w:tcPr>
            <w:tcW w:type="dxa" w:w="2304"/>
            <w:shd w:fill="F7FAFC"/>
            <w:tcMar>
              <w:top w:w="80" w:type="dxa"/>
              <w:bottom w:w="80" w:type="dxa"/>
              <w:left w:w="140" w:type="dxa"/>
              <w:right w:w="140" w:type="dxa"/>
            </w:tcMar>
          </w:tcPr>
          <w:p>
            <w:pPr>
              <w:spacing w:line="276" w:lineRule="auto" w:after="40" w:before="40"/>
            </w:pPr>
            <w:r>
              <w:rPr>
                <w:rFonts w:ascii="Calibri" w:hAnsi="Calibri"/>
                <w:color w:val="2D3748"/>
                <w:sz w:val="19"/>
              </w:rPr>
              <w:t>TP_neg / (TP_neg + FN_neg)</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Maximize</w:t>
            </w:r>
          </w:p>
        </w:tc>
        <w:tc>
          <w:tcPr>
            <w:tcW w:type="dxa" w:w="2736"/>
            <w:shd w:fill="F7FAFC"/>
            <w:tcMar>
              <w:top w:w="80" w:type="dxa"/>
              <w:bottom w:w="80" w:type="dxa"/>
              <w:left w:w="140" w:type="dxa"/>
              <w:right w:w="140" w:type="dxa"/>
            </w:tcMar>
          </w:tcPr>
          <w:p>
            <w:pPr>
              <w:spacing w:line="276" w:lineRule="auto" w:after="40" w:before="40"/>
            </w:pPr>
            <w:r>
              <w:rPr>
                <w:rFonts w:ascii="Calibri" w:hAnsi="Calibri"/>
                <w:color w:val="2D3748"/>
                <w:sz w:val="19"/>
              </w:rPr>
              <w:t>Zero tolerance for missed churn &amp; severe customer complaint signals.</w:t>
            </w:r>
          </w:p>
        </w:tc>
        <w:tc>
          <w:tcPr>
            <w:tcW w:type="dxa" w:w="1152"/>
            <w:shd w:fill="F7FAFC"/>
            <w:tcMar>
              <w:top w:w="80" w:type="dxa"/>
              <w:bottom w:w="80" w:type="dxa"/>
              <w:left w:w="140" w:type="dxa"/>
              <w:right w:w="140" w:type="dxa"/>
            </w:tcMar>
          </w:tcPr>
          <w:p>
            <w:pPr>
              <w:spacing w:line="276" w:lineRule="auto" w:after="40" w:before="40"/>
            </w:pPr>
            <w:r>
              <w:rPr>
                <w:rFonts w:ascii="Calibri" w:hAnsi="Calibri"/>
                <w:color w:val="2D3748"/>
                <w:sz w:val="19"/>
              </w:rPr>
              <w:t>≥ 0.90</w:t>
            </w:r>
          </w:p>
        </w:tc>
      </w:tr>
      <w:tr>
        <w:tc>
          <w:tcPr>
            <w:tcW w:type="dxa" w:w="1872"/>
            <w:shd w:fill="FFFFFF"/>
            <w:tcMar>
              <w:top w:w="80" w:type="dxa"/>
              <w:bottom w:w="80" w:type="dxa"/>
              <w:left w:w="140" w:type="dxa"/>
              <w:right w:w="140" w:type="dxa"/>
            </w:tcMar>
          </w:tcPr>
          <w:p>
            <w:pPr>
              <w:spacing w:line="276" w:lineRule="auto" w:after="40" w:before="40"/>
            </w:pPr>
            <w:r>
              <w:rPr>
                <w:rFonts w:ascii="Calibri" w:hAnsi="Calibri"/>
                <w:color w:val="2D3748"/>
                <w:sz w:val="19"/>
              </w:rPr>
              <w:t>Balanced Accuracy</w:t>
            </w:r>
          </w:p>
        </w:tc>
        <w:tc>
          <w:tcPr>
            <w:tcW w:type="dxa" w:w="2304"/>
            <w:shd w:fill="FFFFFF"/>
            <w:tcMar>
              <w:top w:w="80" w:type="dxa"/>
              <w:bottom w:w="80" w:type="dxa"/>
              <w:left w:w="140" w:type="dxa"/>
              <w:right w:w="140" w:type="dxa"/>
            </w:tcMar>
          </w:tcPr>
          <w:p>
            <w:pPr>
              <w:spacing w:line="276" w:lineRule="auto" w:after="40" w:before="40"/>
            </w:pPr>
            <w:r>
              <w:rPr>
                <w:rFonts w:ascii="Calibri" w:hAnsi="Calibri"/>
                <w:color w:val="2D3748"/>
                <w:sz w:val="19"/>
              </w:rPr>
              <w:t>1/K ∑ Recall_k</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Maximize</w:t>
            </w:r>
          </w:p>
        </w:tc>
        <w:tc>
          <w:tcPr>
            <w:tcW w:type="dxa" w:w="2736"/>
            <w:shd w:fill="FFFFFF"/>
            <w:tcMar>
              <w:top w:w="80" w:type="dxa"/>
              <w:bottom w:w="80" w:type="dxa"/>
              <w:left w:w="140" w:type="dxa"/>
              <w:right w:w="140" w:type="dxa"/>
            </w:tcMar>
          </w:tcPr>
          <w:p>
            <w:pPr>
              <w:spacing w:line="276" w:lineRule="auto" w:after="40" w:before="40"/>
            </w:pPr>
            <w:r>
              <w:rPr>
                <w:rFonts w:ascii="Calibri" w:hAnsi="Calibri"/>
                <w:color w:val="2D3748"/>
                <w:sz w:val="19"/>
              </w:rPr>
              <w:t>Unbiased accuracy measure independent of dataset class imbalance.</w:t>
            </w:r>
          </w:p>
        </w:tc>
        <w:tc>
          <w:tcPr>
            <w:tcW w:type="dxa" w:w="1152"/>
            <w:shd w:fill="FFFFFF"/>
            <w:tcMar>
              <w:top w:w="80" w:type="dxa"/>
              <w:bottom w:w="80" w:type="dxa"/>
              <w:left w:w="140" w:type="dxa"/>
              <w:right w:w="140" w:type="dxa"/>
            </w:tcMar>
          </w:tcPr>
          <w:p>
            <w:pPr>
              <w:spacing w:line="276" w:lineRule="auto" w:after="40" w:before="40"/>
            </w:pPr>
            <w:r>
              <w:rPr>
                <w:rFonts w:ascii="Calibri" w:hAnsi="Calibri"/>
                <w:color w:val="2D3748"/>
                <w:sz w:val="19"/>
              </w:rPr>
              <w:t>≥ 0.85</w:t>
            </w:r>
          </w:p>
        </w:tc>
      </w:tr>
      <w:tr>
        <w:tc>
          <w:tcPr>
            <w:tcW w:type="dxa" w:w="1872"/>
            <w:shd w:fill="F7FAFC"/>
            <w:tcMar>
              <w:top w:w="80" w:type="dxa"/>
              <w:bottom w:w="80" w:type="dxa"/>
              <w:left w:w="140" w:type="dxa"/>
              <w:right w:w="140" w:type="dxa"/>
            </w:tcMar>
          </w:tcPr>
          <w:p>
            <w:pPr>
              <w:spacing w:line="276" w:lineRule="auto" w:after="40" w:before="40"/>
            </w:pPr>
            <w:r>
              <w:rPr>
                <w:rFonts w:ascii="Calibri" w:hAnsi="Calibri"/>
                <w:color w:val="2D3748"/>
                <w:sz w:val="19"/>
              </w:rPr>
              <w:t>Multiclass ROC-AUC</w:t>
            </w:r>
          </w:p>
        </w:tc>
        <w:tc>
          <w:tcPr>
            <w:tcW w:type="dxa" w:w="2304"/>
            <w:shd w:fill="F7FAFC"/>
            <w:tcMar>
              <w:top w:w="80" w:type="dxa"/>
              <w:bottom w:w="80" w:type="dxa"/>
              <w:left w:w="140" w:type="dxa"/>
              <w:right w:w="140" w:type="dxa"/>
            </w:tcMar>
          </w:tcPr>
          <w:p>
            <w:pPr>
              <w:spacing w:line="276" w:lineRule="auto" w:after="40" w:before="40"/>
            </w:pPr>
            <w:r>
              <w:rPr>
                <w:rFonts w:ascii="Calibri" w:hAnsi="Calibri"/>
                <w:color w:val="2D3748"/>
                <w:sz w:val="19"/>
              </w:rPr>
              <w:t>Macro Avg of OvR AUC</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Maximize</w:t>
            </w:r>
          </w:p>
        </w:tc>
        <w:tc>
          <w:tcPr>
            <w:tcW w:type="dxa" w:w="2736"/>
            <w:shd w:fill="F7FAFC"/>
            <w:tcMar>
              <w:top w:w="80" w:type="dxa"/>
              <w:bottom w:w="80" w:type="dxa"/>
              <w:left w:w="140" w:type="dxa"/>
              <w:right w:w="140" w:type="dxa"/>
            </w:tcMar>
          </w:tcPr>
          <w:p>
            <w:pPr>
              <w:spacing w:line="276" w:lineRule="auto" w:after="40" w:before="40"/>
            </w:pPr>
            <w:r>
              <w:rPr>
                <w:rFonts w:ascii="Calibri" w:hAnsi="Calibri"/>
                <w:color w:val="2D3748"/>
                <w:sz w:val="19"/>
              </w:rPr>
              <w:t>Measures discriminatory power independent of chosen threshold cutoffs.</w:t>
            </w:r>
          </w:p>
        </w:tc>
        <w:tc>
          <w:tcPr>
            <w:tcW w:type="dxa" w:w="1152"/>
            <w:shd w:fill="F7FAFC"/>
            <w:tcMar>
              <w:top w:w="80" w:type="dxa"/>
              <w:bottom w:w="80" w:type="dxa"/>
              <w:left w:w="140" w:type="dxa"/>
              <w:right w:w="140" w:type="dxa"/>
            </w:tcMar>
          </w:tcPr>
          <w:p>
            <w:pPr>
              <w:spacing w:line="276" w:lineRule="auto" w:after="40" w:before="40"/>
            </w:pPr>
            <w:r>
              <w:rPr>
                <w:rFonts w:ascii="Calibri" w:hAnsi="Calibri"/>
                <w:color w:val="2D3748"/>
                <w:sz w:val="19"/>
              </w:rPr>
              <w:t>≥ 0.92</w:t>
            </w:r>
          </w:p>
        </w:tc>
      </w:tr>
      <w:tr>
        <w:tc>
          <w:tcPr>
            <w:tcW w:type="dxa" w:w="1872"/>
            <w:shd w:fill="FFFFFF"/>
            <w:tcMar>
              <w:top w:w="80" w:type="dxa"/>
              <w:bottom w:w="80" w:type="dxa"/>
              <w:left w:w="140" w:type="dxa"/>
              <w:right w:w="140" w:type="dxa"/>
            </w:tcMar>
          </w:tcPr>
          <w:p>
            <w:pPr>
              <w:spacing w:line="276" w:lineRule="auto" w:after="40" w:before="40"/>
            </w:pPr>
            <w:r>
              <w:rPr>
                <w:rFonts w:ascii="Calibri" w:hAnsi="Calibri"/>
                <w:color w:val="2D3748"/>
                <w:sz w:val="19"/>
              </w:rPr>
              <w:t>Log-Loss</w:t>
            </w:r>
          </w:p>
        </w:tc>
        <w:tc>
          <w:tcPr>
            <w:tcW w:type="dxa" w:w="2304"/>
            <w:shd w:fill="FFFFFF"/>
            <w:tcMar>
              <w:top w:w="80" w:type="dxa"/>
              <w:bottom w:w="80" w:type="dxa"/>
              <w:left w:w="140" w:type="dxa"/>
              <w:right w:w="140" w:type="dxa"/>
            </w:tcMar>
          </w:tcPr>
          <w:p>
            <w:pPr>
              <w:spacing w:line="276" w:lineRule="auto" w:after="40" w:before="40"/>
            </w:pPr>
            <w:r>
              <w:rPr>
                <w:rFonts w:ascii="Calibri" w:hAnsi="Calibri"/>
                <w:color w:val="2D3748"/>
                <w:sz w:val="19"/>
              </w:rPr>
              <w:t>- 1/N ∑ ∑ y_{ik} log(p_{ik})</w:t>
            </w:r>
          </w:p>
        </w:tc>
        <w:tc>
          <w:tcPr>
            <w:tcW w:type="dxa" w:w="1296"/>
            <w:shd w:fill="FFFFFF"/>
            <w:tcMar>
              <w:top w:w="80" w:type="dxa"/>
              <w:bottom w:w="80" w:type="dxa"/>
              <w:left w:w="140" w:type="dxa"/>
              <w:right w:w="140" w:type="dxa"/>
            </w:tcMar>
          </w:tcPr>
          <w:p>
            <w:pPr>
              <w:spacing w:line="276" w:lineRule="auto" w:after="40" w:before="40"/>
            </w:pPr>
            <w:r>
              <w:rPr>
                <w:rFonts w:ascii="Calibri" w:hAnsi="Calibri"/>
                <w:color w:val="2D3748"/>
                <w:sz w:val="19"/>
              </w:rPr>
              <w:t>Minimize</w:t>
            </w:r>
          </w:p>
        </w:tc>
        <w:tc>
          <w:tcPr>
            <w:tcW w:type="dxa" w:w="2736"/>
            <w:shd w:fill="FFFFFF"/>
            <w:tcMar>
              <w:top w:w="80" w:type="dxa"/>
              <w:bottom w:w="80" w:type="dxa"/>
              <w:left w:w="140" w:type="dxa"/>
              <w:right w:w="140" w:type="dxa"/>
            </w:tcMar>
          </w:tcPr>
          <w:p>
            <w:pPr>
              <w:spacing w:line="276" w:lineRule="auto" w:after="40" w:before="40"/>
            </w:pPr>
            <w:r>
              <w:rPr>
                <w:rFonts w:ascii="Calibri" w:hAnsi="Calibri"/>
                <w:color w:val="2D3748"/>
                <w:sz w:val="19"/>
              </w:rPr>
              <w:t>Ensures calibrated confidence values for reliable Tier 2 escalation routing.</w:t>
            </w:r>
          </w:p>
        </w:tc>
        <w:tc>
          <w:tcPr>
            <w:tcW w:type="dxa" w:w="1152"/>
            <w:shd w:fill="FFFFFF"/>
            <w:tcMar>
              <w:top w:w="80" w:type="dxa"/>
              <w:bottom w:w="80" w:type="dxa"/>
              <w:left w:w="140" w:type="dxa"/>
              <w:right w:w="140" w:type="dxa"/>
            </w:tcMar>
          </w:tcPr>
          <w:p>
            <w:pPr>
              <w:spacing w:line="276" w:lineRule="auto" w:after="40" w:before="40"/>
            </w:pPr>
            <w:r>
              <w:rPr>
                <w:rFonts w:ascii="Calibri" w:hAnsi="Calibri"/>
                <w:color w:val="2D3748"/>
                <w:sz w:val="19"/>
              </w:rPr>
              <w:t>≤ 0.35</w:t>
            </w:r>
          </w:p>
        </w:tc>
      </w:tr>
      <w:tr>
        <w:tc>
          <w:tcPr>
            <w:tcW w:type="dxa" w:w="1872"/>
            <w:shd w:fill="F7FAFC"/>
            <w:tcMar>
              <w:top w:w="80" w:type="dxa"/>
              <w:bottom w:w="80" w:type="dxa"/>
              <w:left w:w="140" w:type="dxa"/>
              <w:right w:w="140" w:type="dxa"/>
            </w:tcMar>
          </w:tcPr>
          <w:p>
            <w:pPr>
              <w:spacing w:line="276" w:lineRule="auto" w:after="40" w:before="40"/>
            </w:pPr>
            <w:r>
              <w:rPr>
                <w:rFonts w:ascii="Calibri" w:hAnsi="Calibri"/>
                <w:color w:val="2D3748"/>
                <w:sz w:val="19"/>
              </w:rPr>
              <w:t>p95 Inference Latency</w:t>
            </w:r>
          </w:p>
        </w:tc>
        <w:tc>
          <w:tcPr>
            <w:tcW w:type="dxa" w:w="2304"/>
            <w:shd w:fill="F7FAFC"/>
            <w:tcMar>
              <w:top w:w="80" w:type="dxa"/>
              <w:bottom w:w="80" w:type="dxa"/>
              <w:left w:w="140" w:type="dxa"/>
              <w:right w:w="140" w:type="dxa"/>
            </w:tcMar>
          </w:tcPr>
          <w:p>
            <w:pPr>
              <w:spacing w:line="276" w:lineRule="auto" w:after="40" w:before="40"/>
            </w:pPr>
            <w:r>
              <w:rPr>
                <w:rFonts w:ascii="Calibri" w:hAnsi="Calibri"/>
                <w:color w:val="2D3748"/>
                <w:sz w:val="19"/>
              </w:rPr>
              <w:t>95th percentile(t_predict)</w:t>
            </w:r>
          </w:p>
        </w:tc>
        <w:tc>
          <w:tcPr>
            <w:tcW w:type="dxa" w:w="1296"/>
            <w:shd w:fill="F7FAFC"/>
            <w:tcMar>
              <w:top w:w="80" w:type="dxa"/>
              <w:bottom w:w="80" w:type="dxa"/>
              <w:left w:w="140" w:type="dxa"/>
              <w:right w:w="140" w:type="dxa"/>
            </w:tcMar>
          </w:tcPr>
          <w:p>
            <w:pPr>
              <w:spacing w:line="276" w:lineRule="auto" w:after="40" w:before="40"/>
            </w:pPr>
            <w:r>
              <w:rPr>
                <w:rFonts w:ascii="Calibri" w:hAnsi="Calibri"/>
                <w:color w:val="2D3748"/>
                <w:sz w:val="19"/>
              </w:rPr>
              <w:t>Minimize</w:t>
            </w:r>
          </w:p>
        </w:tc>
        <w:tc>
          <w:tcPr>
            <w:tcW w:type="dxa" w:w="2736"/>
            <w:shd w:fill="F7FAFC"/>
            <w:tcMar>
              <w:top w:w="80" w:type="dxa"/>
              <w:bottom w:w="80" w:type="dxa"/>
              <w:left w:w="140" w:type="dxa"/>
              <w:right w:w="140" w:type="dxa"/>
            </w:tcMar>
          </w:tcPr>
          <w:p>
            <w:pPr>
              <w:spacing w:line="276" w:lineRule="auto" w:after="40" w:before="40"/>
            </w:pPr>
            <w:r>
              <w:rPr>
                <w:rFonts w:ascii="Calibri" w:hAnsi="Calibri"/>
                <w:color w:val="2D3748"/>
                <w:sz w:val="19"/>
              </w:rPr>
              <w:t>Maintains SLA guarantees for high-volume customer streaming APIs.</w:t>
            </w:r>
          </w:p>
        </w:tc>
        <w:tc>
          <w:tcPr>
            <w:tcW w:type="dxa" w:w="1152"/>
            <w:shd w:fill="F7FAFC"/>
            <w:tcMar>
              <w:top w:w="80" w:type="dxa"/>
              <w:bottom w:w="80" w:type="dxa"/>
              <w:left w:w="140" w:type="dxa"/>
              <w:right w:w="140" w:type="dxa"/>
            </w:tcMar>
          </w:tcPr>
          <w:p>
            <w:pPr>
              <w:spacing w:line="276" w:lineRule="auto" w:after="40" w:before="40"/>
            </w:pPr>
            <w:r>
              <w:rPr>
                <w:rFonts w:ascii="Calibri" w:hAnsi="Calibri"/>
                <w:color w:val="2D3748"/>
                <w:sz w:val="19"/>
              </w:rPr>
              <w:t>&lt; 20 ms (Tier 1)</w:t>
            </w:r>
          </w:p>
        </w:tc>
      </w:tr>
    </w:tbl>
    <w:p>
      <w:pPr>
        <w:spacing w:after="120"/>
      </w:pPr>
    </w:p>
    <w:p>
      <w:pPr>
        <w:pStyle w:val="Heading1"/>
        <w:spacing w:before="280" w:after="80"/>
      </w:pPr>
      <w:r>
        <w:rPr>
          <w:b/>
          <w:color w:val="1A365D"/>
        </w:rPr>
        <w:t>3. End-to-End Experimental Architecture &amp; Protocol</w:t>
      </w:r>
    </w:p>
    <w:p>
      <w:r>
        <w:t>To generate unimpeachable scientific validity, the experiment is partitioned into strict stages with isolated data boundaries:</w:t>
      </w:r>
    </w:p>
    <w:p>
      <w:r>
        <w:t>Figure 3.1: Strict Experimental Workflow &amp; Data Isolation Architecture:</w:t>
      </w:r>
    </w:p>
    <w:tbl>
      <w:tblPr>
        <w:tblW w:type="auto" w:w="0"/>
        <w:jc w:val="center"/>
        <w:tblLayout w:type="fixed"/>
        <w:tblLook w:firstColumn="1" w:firstRow="1" w:lastColumn="0" w:lastRow="0" w:noHBand="0" w:noVBand="1" w:val="04A0"/>
      </w:tblPr>
      <w:tblGrid>
        <w:gridCol w:w="9360"/>
      </w:tblGrid>
      <w:tr>
        <w:tc>
          <w:tcPr>
            <w:tcW w:type="dxa" w:w="9360"/>
            <w:shd w:fill="2D3748"/>
            <w:tcMar>
              <w:top w:w="100" w:type="dxa"/>
              <w:bottom w:w="100" w:type="dxa"/>
              <w:left w:w="140" w:type="dxa"/>
              <w:right w:w="140" w:type="dxa"/>
            </w:tcMar>
            <w:tcBorders>
              <w:top w:val="none"/>
              <w:left w:val="single" w:sz="16" w:space="0" w:color="4FD1C5"/>
              <w:bottom w:val="none"/>
              <w:right w:val="none"/>
            </w:tcBorders>
          </w:tcPr>
          <w:p>
            <w:pPr>
              <w:spacing w:before="40" w:after="40" w:line="252" w:lineRule="auto"/>
            </w:pPr>
            <w:r>
              <w:rPr>
                <w:rFonts w:ascii="Consolas" w:hAnsi="Consolas"/>
                <w:color w:val="E2E8F0"/>
                <w:sz w:val="17"/>
              </w:rPr>
              <w:t>+----------------------------------------------------------------------------------------+</w:t>
              <w:br/>
              <w:t>|                        TOTAL CORPUS: 20,000+ CUSTOMER REVIEWS                          |</w:t>
              <w:br/>
              <w:t>+-------------------------------------------+--------------------------------------------+</w:t>
              <w:br/>
              <w:t xml:space="preserve">                                            |</w:t>
              <w:br/>
              <w:t xml:space="preserve">             +------------------------------+-----------------------------+</w:t>
              <w:br/>
              <w:t xml:space="preserve">             | (85% Development Split)                                    | (15% Blind Test)</w:t>
              <w:br/>
              <w:t xml:space="preserve">             v                                                            v</w:t>
              <w:br/>
              <w:t>+---------------------------------------+               +--------------------------------+</w:t>
              <w:br/>
              <w:t>|     DEVELOPMENT DATASET (N=17,000)    |               |    GOLDEN TEST SET (N=3,000)   |</w:t>
              <w:br/>
              <w:t>|  - Stratified by Target &amp; Domain      |               |  - Completely Isolated         |</w:t>
              <w:br/>
              <w:t>+-------------------+-------------------+               |  - Zero Feature Fitting        |</w:t>
              <w:br/>
              <w:t xml:space="preserve">                    |                                   |  - Touched ONLY at final signoff|</w:t>
              <w:br/>
              <w:t xml:space="preserve">                    v                                   +----------------+---------------+</w:t>
              <w:br/>
              <w:t>+---------------------------------------+                                |</w:t>
              <w:br/>
              <w:t>|   5-FOLD STRATIFIED CROSS VALIDATION  |                                |</w:t>
              <w:br/>
              <w:t>|  +---------------------------------+  |                                |</w:t>
              <w:br/>
              <w:t>|  | Fold 1: 80% Train | 20% Val     |  |                                |</w:t>
              <w:br/>
              <w:t>|  | Fold 2: 80% Train | 20% Val     |  |                                |</w:t>
              <w:br/>
              <w:t>|  | Fold 3: 80% Train | 20% Val     |  |                                |</w:t>
              <w:br/>
              <w:t>|  | Fold 4: 80% Train | 20% Val     |  |                                |</w:t>
              <w:br/>
              <w:t>|  | Fold 5: 80% Train | 20% Val     |  |                                |</w:t>
              <w:br/>
              <w:t>|  +---------------------------------+  |                                |</w:t>
              <w:br/>
              <w:t>|  * Note: Vectorizer fitted ONLY on     |                                |</w:t>
              <w:br/>
              <w:t>|    internal fold training splits      |                                |</w:t>
              <w:br/>
              <w:t>+-------------------+-------------------+                                |</w:t>
              <w:br/>
              <w:t xml:space="preserve">                    |                                                    |</w:t>
              <w:br/>
              <w:t xml:space="preserve">                    v                                                    |</w:t>
              <w:br/>
              <w:t>+---------------------------------------+                                |</w:t>
              <w:br/>
              <w:t>|   HYPERPARAMETER GRID SEARCH &amp; TUNING |                                |</w:t>
              <w:br/>
              <w:t>|   (C, sublinear_tf, n-gram ranges)    |                                |</w:t>
              <w:br/>
              <w:t>+-------------------+-------------------+                                |</w:t>
              <w:br/>
              <w:t xml:space="preserve">                    | Best Estimator Retrained on Full Dev Set           |</w:t>
              <w:br/>
              <w:t xml:space="preserve">                    +----------------------------------------------------+ </w:t>
              <w:br/>
              <w:t xml:space="preserve">                                            |</w:t>
              <w:br/>
              <w:t xml:space="preserve">                                            v</w:t>
              <w:br/>
              <w:t>+----------------------------------------------------------------------------------------+</w:t>
              <w:br/>
              <w:t>|                            FINAL BENCHMARK EVALUATION STAGE                            |</w:t>
              <w:br/>
              <w:t>|   - Blind Hold-Out Scoring (Macro F1, Confusion Matrix, Negative Recall)               |</w:t>
              <w:br/>
              <w:t>|   - Bootstrap Confidence Intervals (95% BCa, 1,000 iterations)                         |</w:t>
              <w:br/>
              <w:t>|   - Statistical Significance (Pairwise McNemar's Test vs. Baselines)                   |</w:t>
              <w:br/>
              <w:t>+----------------------------------------------------------------------------------------+</w:t>
            </w:r>
          </w:p>
        </w:tc>
      </w:tr>
    </w:tbl>
    <w:p>
      <w:pPr>
        <w:spacing w:after="80"/>
      </w:pPr>
    </w:p>
    <w:p>
      <w:pPr>
        <w:pStyle w:val="Heading2"/>
      </w:pPr>
      <w:r>
        <w:rPr>
          <w:color w:val="2B6CB0"/>
        </w:rPr>
        <w:t>3.1 Data Partitioning &amp; Stratification Protocol</w:t>
      </w:r>
    </w:p>
    <w:p>
      <w:r>
        <w:t>Data leakage is the most pervasive flaw in applied NLP experiments. It frequently occurs when feature transformations (such as computing IDF vocabulary frequencies or global target statistics) are performed on the complete corpus before splitting. Our protocol enforces strict isolation: the Golden Blind Test Set (15%, N ≈ 3,000) is locked away prior to any feature extraction, imputation, or vocabulary generation. All TF-IDF parameters and vocabulary dictionaries are learned exclusively inside the training folds.</w:t>
      </w:r>
    </w:p>
    <w:p>
      <w:pPr>
        <w:pStyle w:val="Heading2"/>
      </w:pPr>
      <w:r>
        <w:rPr>
          <w:color w:val="2B6CB0"/>
        </w:rPr>
        <w:t>3.2 Stratified 5-Fold Cross-Validation Framework</w:t>
      </w:r>
    </w:p>
    <w:p>
      <w:r>
        <w:t>Rather than relying on a single train-validation split (which suffers from high sampling variance), we employ Stratified 5-Fold Cross-Validation. In each fold, the class frequency ratio (Negative : Neutral : Positive) is strictly preserved across the 80% training and 20% validation splits. Performance metrics are reported as (Mean ± Standard Deviation) across the 5 validation folds.</w:t>
      </w:r>
    </w:p>
    <w:p>
      <w:pPr>
        <w:pStyle w:val="Heading1"/>
        <w:spacing w:before="280" w:after="80"/>
      </w:pPr>
      <w:r>
        <w:rPr>
          <w:b/>
          <w:color w:val="1A365D"/>
        </w:rPr>
        <w:t>4. Error Analysis Procedures &amp; Failure Mode Taxonomy</w:t>
      </w:r>
    </w:p>
    <w:p>
      <w:r>
        <w:t>High aggregate metrics often conceal dangerous localized systematic failures. To guarantee that IntelliFeedback is robust in production, our experimental design mandates a 3-tier Error Analysis Procedure:</w:t>
      </w:r>
    </w:p>
    <w:p>
      <w:pPr>
        <w:pStyle w:val="Heading2"/>
      </w:pPr>
      <w:r>
        <w:rPr>
          <w:color w:val="2B6CB0"/>
        </w:rPr>
        <w:t>4.1 Normalized Confusion Matrix &amp; Off-Diagonal Cost Analysis</w:t>
      </w:r>
    </w:p>
    <w:p>
      <w:r>
        <w:t>Raw prediction counts are converted into row-normalized transition probabilities: C_{i,j} = P(Predicted = j | True = i). We specifically audit two severe off-diagonal failure cells:</w:t>
      </w:r>
    </w:p>
    <w:p>
      <w:pPr>
        <w:pStyle w:val="ListBullet"/>
      </w:pPr>
      <w:r>
        <w:rPr>
          <w:b/>
        </w:rPr>
        <w:t xml:space="preserve">Critical Error Cell C(Negative, Positive): </w:t>
      </w:r>
      <w:r>
        <w:t>A truly negative review misclassified as positive. This is the costliest operational error, representing catastrophic failure to detect an angry customer.</w:t>
      </w:r>
    </w:p>
    <w:p>
      <w:pPr>
        <w:pStyle w:val="ListBullet"/>
      </w:pPr>
      <w:r>
        <w:rPr>
          <w:b/>
        </w:rPr>
        <w:t xml:space="preserve">Boundary Error Cell C(Neutral, Negative) &amp; C(Neutral, Positive): </w:t>
      </w:r>
      <w:r>
        <w:t>Examines the ambiguity boundary around 3-star reviews where sentiment polarity is mixed or tepid.</w:t>
      </w:r>
    </w:p>
    <w:p>
      <w:pPr>
        <w:pStyle w:val="Heading2"/>
      </w:pPr>
      <w:r>
        <w:rPr>
          <w:color w:val="2B6CB0"/>
        </w:rPr>
        <w:t>4.2 Qualitative Failure Taxonomy &amp; Root-Cause Categories</w:t>
      </w:r>
    </w:p>
    <w:p>
      <w:r>
        <w:t>All misclassified instances from the hold-out validation folds are automatically routed into an error analysis inspector and categorized into four linguistic failure modes:</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160"/>
            <w:shd w:fill="1A365D"/>
            <w:tcMar>
              <w:top w:w="120" w:type="dxa"/>
              <w:bottom w:w="120" w:type="dxa"/>
              <w:left w:w="140" w:type="dxa"/>
              <w:right w:w="140" w:type="dxa"/>
            </w:tcMar>
          </w:tcPr>
          <w:p>
            <w:pPr>
              <w:jc w:val="left"/>
            </w:pPr>
            <w:r>
              <w:rPr>
                <w:rFonts w:ascii="Calibri" w:hAnsi="Calibri"/>
                <w:b/>
                <w:color w:val="FFFFFF"/>
                <w:sz w:val="20"/>
              </w:rPr>
              <w:t>Failure Category</w:t>
            </w:r>
          </w:p>
        </w:tc>
        <w:tc>
          <w:tcPr>
            <w:tcW w:type="dxa" w:w="2880"/>
            <w:shd w:fill="1A365D"/>
            <w:tcMar>
              <w:top w:w="120" w:type="dxa"/>
              <w:bottom w:w="120" w:type="dxa"/>
              <w:left w:w="140" w:type="dxa"/>
              <w:right w:w="140" w:type="dxa"/>
            </w:tcMar>
          </w:tcPr>
          <w:p>
            <w:pPr>
              <w:jc w:val="left"/>
            </w:pPr>
            <w:r>
              <w:rPr>
                <w:rFonts w:ascii="Calibri" w:hAnsi="Calibri"/>
                <w:b/>
                <w:color w:val="FFFFFF"/>
                <w:sz w:val="20"/>
              </w:rPr>
              <w:t>Linguistic Pattern / Example</w:t>
            </w:r>
          </w:p>
        </w:tc>
        <w:tc>
          <w:tcPr>
            <w:tcW w:type="dxa" w:w="2160"/>
            <w:shd w:fill="1A365D"/>
            <w:tcMar>
              <w:top w:w="120" w:type="dxa"/>
              <w:bottom w:w="120" w:type="dxa"/>
              <w:left w:w="140" w:type="dxa"/>
              <w:right w:w="140" w:type="dxa"/>
            </w:tcMar>
          </w:tcPr>
          <w:p>
            <w:pPr>
              <w:jc w:val="left"/>
            </w:pPr>
            <w:r>
              <w:rPr>
                <w:rFonts w:ascii="Calibri" w:hAnsi="Calibri"/>
                <w:b/>
                <w:color w:val="FFFFFF"/>
                <w:sz w:val="20"/>
              </w:rPr>
              <w:t>Primary Model Root Cause</w:t>
            </w:r>
          </w:p>
        </w:tc>
        <w:tc>
          <w:tcPr>
            <w:tcW w:type="dxa" w:w="2160"/>
            <w:shd w:fill="1A365D"/>
            <w:tcMar>
              <w:top w:w="120" w:type="dxa"/>
              <w:bottom w:w="120" w:type="dxa"/>
              <w:left w:w="140" w:type="dxa"/>
              <w:right w:w="140" w:type="dxa"/>
            </w:tcMar>
          </w:tcPr>
          <w:p>
            <w:pPr>
              <w:jc w:val="left"/>
            </w:pPr>
            <w:r>
              <w:rPr>
                <w:rFonts w:ascii="Calibri" w:hAnsi="Calibri"/>
                <w:b/>
                <w:color w:val="FFFFFF"/>
                <w:sz w:val="20"/>
              </w:rPr>
              <w:t>Engineering Remediation</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Category A:</w:t>
              <w:br/>
              <w:t>Sarcasm &amp; Irony</w:t>
            </w:r>
          </w:p>
        </w:tc>
        <w:tc>
          <w:tcPr>
            <w:tcW w:type="dxa" w:w="2880"/>
            <w:shd w:fill="FFFFFF"/>
            <w:tcMar>
              <w:top w:w="80" w:type="dxa"/>
              <w:bottom w:w="80" w:type="dxa"/>
              <w:left w:w="140" w:type="dxa"/>
              <w:right w:w="140" w:type="dxa"/>
            </w:tcMar>
          </w:tcPr>
          <w:p>
            <w:pPr>
              <w:spacing w:line="276" w:lineRule="auto" w:after="40" w:before="40"/>
            </w:pPr>
            <w:r>
              <w:rPr>
                <w:rFonts w:ascii="Calibri" w:hAnsi="Calibri"/>
                <w:color w:val="2D3748"/>
                <w:sz w:val="19"/>
              </w:rPr>
              <w:t>"Oh wonderful, the phone died in 10 minutes. What a great invention!"</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N-grams see positive lexical tokens ('wonderful', 'great') and ignore ironic context.</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Route reviews where Tier 1 confidence is borderline (&lt;0.70) to Tier 2 DistilBERT contextual attention.</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Category B:</w:t>
              <w:br/>
              <w:t>Mixed / Concessive Polarity</w:t>
            </w:r>
          </w:p>
        </w:tc>
        <w:tc>
          <w:tcPr>
            <w:tcW w:type="dxa" w:w="2880"/>
            <w:shd w:fill="F7FAFC"/>
            <w:tcMar>
              <w:top w:w="80" w:type="dxa"/>
              <w:bottom w:w="80" w:type="dxa"/>
              <w:left w:w="140" w:type="dxa"/>
              <w:right w:w="140" w:type="dxa"/>
            </w:tcMar>
          </w:tcPr>
          <w:p>
            <w:pPr>
              <w:spacing w:line="276" w:lineRule="auto" w:after="40" w:before="40"/>
            </w:pPr>
            <w:r>
              <w:rPr>
                <w:rFonts w:ascii="Calibri" w:hAnsi="Calibri"/>
                <w:color w:val="2D3748"/>
                <w:sz w:val="19"/>
              </w:rPr>
              <w:t>"The screen is gorgeous and sound is amazing, but the battery exploded."</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TF-IDF feature weights for multiple positive clauses overshadow the single critical negative clause.</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Weight negative keyword tokens higher; incorporate aspect-level sentence segmentation.</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Category C:</w:t>
              <w:br/>
              <w:t>Complex Negation Scope</w:t>
            </w:r>
          </w:p>
        </w:tc>
        <w:tc>
          <w:tcPr>
            <w:tcW w:type="dxa" w:w="2880"/>
            <w:shd w:fill="FFFFFF"/>
            <w:tcMar>
              <w:top w:w="80" w:type="dxa"/>
              <w:bottom w:w="80" w:type="dxa"/>
              <w:left w:w="140" w:type="dxa"/>
              <w:right w:w="140" w:type="dxa"/>
            </w:tcMar>
          </w:tcPr>
          <w:p>
            <w:pPr>
              <w:spacing w:line="276" w:lineRule="auto" w:after="40" w:before="40"/>
            </w:pPr>
            <w:r>
              <w:rPr>
                <w:rFonts w:ascii="Calibri" w:hAnsi="Calibri"/>
                <w:color w:val="2D3748"/>
                <w:sz w:val="19"/>
              </w:rPr>
              <w:t>"I can not say that I ever found a single feature that worked well."</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Long-distance dependency between negation 'not' and target phrase exceeds bi-gram/tri-gram window.</w:t>
            </w:r>
          </w:p>
        </w:tc>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Implement sublinear TF-IDF with tri-grams (1, 3); utilize dependency parsing / transformer attention.</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Category D:</w:t>
              <w:br/>
              <w:t>Subjective Neutral Ambiguity</w:t>
            </w:r>
          </w:p>
        </w:tc>
        <w:tc>
          <w:tcPr>
            <w:tcW w:type="dxa" w:w="2880"/>
            <w:shd w:fill="F7FAFC"/>
            <w:tcMar>
              <w:top w:w="80" w:type="dxa"/>
              <w:bottom w:w="80" w:type="dxa"/>
              <w:left w:w="140" w:type="dxa"/>
              <w:right w:w="140" w:type="dxa"/>
            </w:tcMar>
          </w:tcPr>
          <w:p>
            <w:pPr>
              <w:spacing w:line="276" w:lineRule="auto" w:after="40" w:before="40"/>
            </w:pPr>
            <w:r>
              <w:rPr>
                <w:rFonts w:ascii="Calibri" w:hAnsi="Calibri"/>
                <w:color w:val="2D3748"/>
                <w:sz w:val="19"/>
              </w:rPr>
              <w:t>"It is an ordinary cable. Arrived in a box. It plugs into the wall."</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Factual/objective reviews lack polarized sentiment vocabulary, drifting into random classification.</w:t>
            </w:r>
          </w:p>
        </w:tc>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Calibrate decision thresholds; assign Neutral as the default fallback for zero-polarity vectors.</w:t>
            </w:r>
          </w:p>
        </w:tc>
      </w:tr>
    </w:tbl>
    <w:p>
      <w:pPr>
        <w:spacing w:after="120"/>
      </w:pPr>
    </w:p>
    <w:p>
      <w:pPr>
        <w:pStyle w:val="Heading1"/>
        <w:spacing w:before="280" w:after="80"/>
      </w:pPr>
      <w:r>
        <w:rPr>
          <w:b/>
          <w:color w:val="1A365D"/>
        </w:rPr>
        <w:t>5. Statistical Significance &amp; Hypothesis Testing Protocol</w:t>
      </w:r>
    </w:p>
    <w:p>
      <w:r>
        <w:t>To verify that performance improvements between baseline models (e.g., MNB vs. Calibrated LinearSVC vs. DistilBERT) are statistically significant rather than artifacts of stochastic data variation, we enforce formal hypothesis testing:</w:t>
      </w:r>
    </w:p>
    <w:p>
      <w:pPr>
        <w:pStyle w:val="ListBullet"/>
      </w:pPr>
      <w:r>
        <w:rPr>
          <w:b/>
        </w:rPr>
        <w:t xml:space="preserve">Pairwise McNemar's Test: </w:t>
      </w:r>
      <w:r>
        <w:t>A non-parametric test applied to the contingency table of paired predictions on the test set. Evaluates whether the marginal frequencies of discordant classifications (Model A correct, Model B wrong vs. vice versa) differ significantly with p &lt; 0.01.</w:t>
      </w:r>
    </w:p>
    <w:p>
      <w:pPr>
        <w:pStyle w:val="ListBullet"/>
      </w:pPr>
      <w:r>
        <w:rPr>
          <w:b/>
        </w:rPr>
        <w:t xml:space="preserve">Bootstrap Confidence Intervals (95% BCa): </w:t>
      </w:r>
      <w:r>
        <w:t>We compute 1,000 bootstrap resamples of the blind hold-out test set to estimate non-parametric 95% confidence intervals for Macro F1 and Negative Recall, ensuring reported gains are statistically robust.</w:t>
      </w:r>
    </w:p>
    <w:p>
      <w:pPr>
        <w:pStyle w:val="Heading1"/>
        <w:spacing w:before="280" w:after="80"/>
      </w:pPr>
      <w:r>
        <w:rPr>
          <w:b/>
          <w:color w:val="1A365D"/>
        </w:rPr>
        <w:t>6. Experimental Risks, Limitations, and Mitigation Strategies</w:t>
      </w:r>
    </w:p>
    <w:p>
      <w:r>
        <w:t>The following risk matrix identifies foreseeable threats to experimental validity, their root causes, and our planned countermeasures:</w:t>
      </w:r>
    </w:p>
    <w:tbl>
      <w:tblPr>
        <w:tblW w:type="auto" w:w="0"/>
        <w:jc w:val="center"/>
        <w:tblLayout w:type="fixed"/>
        <w:tblLook w:firstColumn="1" w:firstRow="1" w:lastColumn="0" w:lastRow="0" w:noHBand="0" w:noVBand="1" w:val="04A0"/>
        <w:tblBorders>
          <w:top w:val="single" w:sz="4" w:space="0" w:color="CBD5E0"/>
          <w:left w:val="none"/>
          <w:bottom w:val="single" w:sz="8" w:space="0" w:color="1A365D"/>
          <w:right w:val="none"/>
          <w:insideH w:val="single" w:sz="4" w:space="0" w:color="E2E8F0"/>
          <w:insideV w:val="none"/>
        </w:tblBorders>
      </w:tblPr>
      <w:tblGrid>
        <w:gridCol w:w="2340"/>
        <w:gridCol w:w="2340"/>
        <w:gridCol w:w="2340"/>
        <w:gridCol w:w="2340"/>
      </w:tblGrid>
      <w:tr>
        <w:tc>
          <w:tcPr>
            <w:tcW w:type="dxa" w:w="2160"/>
            <w:shd w:fill="1A365D"/>
            <w:tcMar>
              <w:top w:w="120" w:type="dxa"/>
              <w:bottom w:w="120" w:type="dxa"/>
              <w:left w:w="140" w:type="dxa"/>
              <w:right w:w="140" w:type="dxa"/>
            </w:tcMar>
          </w:tcPr>
          <w:p>
            <w:pPr>
              <w:jc w:val="left"/>
            </w:pPr>
            <w:r>
              <w:rPr>
                <w:rFonts w:ascii="Calibri" w:hAnsi="Calibri"/>
                <w:b/>
                <w:color w:val="FFFFFF"/>
                <w:sz w:val="20"/>
              </w:rPr>
              <w:t>Identified Risk</w:t>
            </w:r>
          </w:p>
        </w:tc>
        <w:tc>
          <w:tcPr>
            <w:tcW w:type="dxa" w:w="2592"/>
            <w:shd w:fill="1A365D"/>
            <w:tcMar>
              <w:top w:w="120" w:type="dxa"/>
              <w:bottom w:w="120" w:type="dxa"/>
              <w:left w:w="140" w:type="dxa"/>
              <w:right w:w="140" w:type="dxa"/>
            </w:tcMar>
          </w:tcPr>
          <w:p>
            <w:pPr>
              <w:jc w:val="left"/>
            </w:pPr>
            <w:r>
              <w:rPr>
                <w:rFonts w:ascii="Calibri" w:hAnsi="Calibri"/>
                <w:b/>
                <w:color w:val="FFFFFF"/>
                <w:sz w:val="20"/>
              </w:rPr>
              <w:t>Threat to Experimental Validity</w:t>
            </w:r>
          </w:p>
        </w:tc>
        <w:tc>
          <w:tcPr>
            <w:tcW w:type="dxa" w:w="1584"/>
            <w:shd w:fill="1A365D"/>
            <w:tcMar>
              <w:top w:w="120" w:type="dxa"/>
              <w:bottom w:w="120" w:type="dxa"/>
              <w:left w:w="140" w:type="dxa"/>
              <w:right w:w="140" w:type="dxa"/>
            </w:tcMar>
          </w:tcPr>
          <w:p>
            <w:pPr>
              <w:jc w:val="left"/>
            </w:pPr>
            <w:r>
              <w:rPr>
                <w:rFonts w:ascii="Calibri" w:hAnsi="Calibri"/>
                <w:b/>
                <w:color w:val="FFFFFF"/>
                <w:sz w:val="20"/>
              </w:rPr>
              <w:t>Likelihood / Severity</w:t>
            </w:r>
          </w:p>
        </w:tc>
        <w:tc>
          <w:tcPr>
            <w:tcW w:type="dxa" w:w="3024"/>
            <w:shd w:fill="1A365D"/>
            <w:tcMar>
              <w:top w:w="120" w:type="dxa"/>
              <w:bottom w:w="120" w:type="dxa"/>
              <w:left w:w="140" w:type="dxa"/>
              <w:right w:w="140" w:type="dxa"/>
            </w:tcMar>
          </w:tcPr>
          <w:p>
            <w:pPr>
              <w:jc w:val="left"/>
            </w:pPr>
            <w:r>
              <w:rPr>
                <w:rFonts w:ascii="Calibri" w:hAnsi="Calibri"/>
                <w:b/>
                <w:color w:val="FFFFFF"/>
                <w:sz w:val="20"/>
              </w:rPr>
              <w:t>Planned Technical Countermeasure</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Information Leakage via Preprocessing</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Fitting TF-IDF vectorizers or tokenizers on entire dataset before splitting produces unrealistically high validation scores.</w:t>
            </w:r>
          </w:p>
        </w:tc>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High / Critical</w:t>
            </w:r>
          </w:p>
        </w:tc>
        <w:tc>
          <w:tcPr>
            <w:tcW w:type="dxa" w:w="3024"/>
            <w:shd w:fill="FFFFFF"/>
            <w:tcMar>
              <w:top w:w="80" w:type="dxa"/>
              <w:bottom w:w="80" w:type="dxa"/>
              <w:left w:w="140" w:type="dxa"/>
              <w:right w:w="140" w:type="dxa"/>
            </w:tcMar>
          </w:tcPr>
          <w:p>
            <w:pPr>
              <w:spacing w:line="276" w:lineRule="auto" w:after="40" w:before="40"/>
            </w:pPr>
            <w:r>
              <w:rPr>
                <w:rFonts w:ascii="Calibri" w:hAnsi="Calibri"/>
                <w:color w:val="2D3748"/>
                <w:sz w:val="19"/>
              </w:rPr>
              <w:t>Encapsulate all vectorization and model steps inside Scikit-Learn `Pipeline` objects, guaranteeing vectorizers fit strictly on fold training splits.</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Class Imbalance Distortion</w:t>
            </w:r>
          </w:p>
        </w:tc>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High proportion of positive reviews causes models to ignore negative classes while maintaining deceptive 80%+ accuracy.</w:t>
            </w:r>
          </w:p>
        </w:tc>
        <w:tc>
          <w:tcPr>
            <w:tcW w:type="dxa" w:w="1584"/>
            <w:shd w:fill="F7FAFC"/>
            <w:tcMar>
              <w:top w:w="80" w:type="dxa"/>
              <w:bottom w:w="80" w:type="dxa"/>
              <w:left w:w="140" w:type="dxa"/>
              <w:right w:w="140" w:type="dxa"/>
            </w:tcMar>
          </w:tcPr>
          <w:p>
            <w:pPr>
              <w:spacing w:line="276" w:lineRule="auto" w:after="40" w:before="40"/>
            </w:pPr>
            <w:r>
              <w:rPr>
                <w:rFonts w:ascii="Calibri" w:hAnsi="Calibri"/>
                <w:color w:val="2D3748"/>
                <w:sz w:val="19"/>
              </w:rPr>
              <w:t>High / High</w:t>
            </w:r>
          </w:p>
        </w:tc>
        <w:tc>
          <w:tcPr>
            <w:tcW w:type="dxa" w:w="3024"/>
            <w:shd w:fill="F7FAFC"/>
            <w:tcMar>
              <w:top w:w="80" w:type="dxa"/>
              <w:bottom w:w="80" w:type="dxa"/>
              <w:left w:w="140" w:type="dxa"/>
              <w:right w:w="140" w:type="dxa"/>
            </w:tcMar>
          </w:tcPr>
          <w:p>
            <w:pPr>
              <w:spacing w:line="276" w:lineRule="auto" w:after="40" w:before="40"/>
            </w:pPr>
            <w:r>
              <w:rPr>
                <w:rFonts w:ascii="Calibri" w:hAnsi="Calibri"/>
                <w:color w:val="2D3748"/>
                <w:sz w:val="19"/>
              </w:rPr>
              <w:t>Set `class_weight='balanced'` in estimators, prioritize Balanced Accuracy and Macro F1, and monitor class-specific confusion matrices.</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Hyperparameter Optimization Overfitting</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Aggressive grid search on a single validation fold overfits hyperparameter choices to that specific sample.</w:t>
            </w:r>
          </w:p>
        </w:tc>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Medium / Moderate</w:t>
            </w:r>
          </w:p>
        </w:tc>
        <w:tc>
          <w:tcPr>
            <w:tcW w:type="dxa" w:w="3024"/>
            <w:shd w:fill="FFFFFF"/>
            <w:tcMar>
              <w:top w:w="80" w:type="dxa"/>
              <w:bottom w:w="80" w:type="dxa"/>
              <w:left w:w="140" w:type="dxa"/>
              <w:right w:w="140" w:type="dxa"/>
            </w:tcMar>
          </w:tcPr>
          <w:p>
            <w:pPr>
              <w:spacing w:line="276" w:lineRule="auto" w:after="40" w:before="40"/>
            </w:pPr>
            <w:r>
              <w:rPr>
                <w:rFonts w:ascii="Calibri" w:hAnsi="Calibri"/>
                <w:color w:val="2D3748"/>
                <w:sz w:val="19"/>
              </w:rPr>
              <w:t>Perform GridSearchCV strictly under 5-Fold Stratified Cross-Validation with fixed random seeds (`random_state=42`).</w:t>
            </w:r>
          </w:p>
        </w:tc>
      </w:tr>
      <w:tr>
        <w:tc>
          <w:tcPr>
            <w:tcW w:type="dxa" w:w="2160"/>
            <w:shd w:fill="F7FAFC"/>
            <w:tcMar>
              <w:top w:w="80" w:type="dxa"/>
              <w:bottom w:w="80" w:type="dxa"/>
              <w:left w:w="140" w:type="dxa"/>
              <w:right w:w="140" w:type="dxa"/>
            </w:tcMar>
          </w:tcPr>
          <w:p>
            <w:pPr>
              <w:spacing w:line="276" w:lineRule="auto" w:after="40" w:before="40"/>
            </w:pPr>
            <w:r>
              <w:rPr>
                <w:rFonts w:ascii="Calibri" w:hAnsi="Calibri"/>
                <w:color w:val="2D3748"/>
                <w:sz w:val="19"/>
              </w:rPr>
              <w:t>Crowd-Sourced Label Noise</w:t>
            </w:r>
          </w:p>
        </w:tc>
        <w:tc>
          <w:tcPr>
            <w:tcW w:type="dxa" w:w="2592"/>
            <w:shd w:fill="F7FAFC"/>
            <w:tcMar>
              <w:top w:w="80" w:type="dxa"/>
              <w:bottom w:w="80" w:type="dxa"/>
              <w:left w:w="140" w:type="dxa"/>
              <w:right w:w="140" w:type="dxa"/>
            </w:tcMar>
          </w:tcPr>
          <w:p>
            <w:pPr>
              <w:spacing w:line="276" w:lineRule="auto" w:after="40" w:before="40"/>
            </w:pPr>
            <w:r>
              <w:rPr>
                <w:rFonts w:ascii="Calibri" w:hAnsi="Calibri"/>
                <w:color w:val="2D3748"/>
                <w:sz w:val="19"/>
              </w:rPr>
              <w:t>Customer star ratings do not always match written text (e.g., 5-star rating with complaint text like 'terrible').</w:t>
            </w:r>
          </w:p>
        </w:tc>
        <w:tc>
          <w:tcPr>
            <w:tcW w:type="dxa" w:w="1584"/>
            <w:shd w:fill="F7FAFC"/>
            <w:tcMar>
              <w:top w:w="80" w:type="dxa"/>
              <w:bottom w:w="80" w:type="dxa"/>
              <w:left w:w="140" w:type="dxa"/>
              <w:right w:w="140" w:type="dxa"/>
            </w:tcMar>
          </w:tcPr>
          <w:p>
            <w:pPr>
              <w:spacing w:line="276" w:lineRule="auto" w:after="40" w:before="40"/>
            </w:pPr>
            <w:r>
              <w:rPr>
                <w:rFonts w:ascii="Calibri" w:hAnsi="Calibri"/>
                <w:color w:val="2D3748"/>
                <w:sz w:val="19"/>
              </w:rPr>
              <w:t>Medium / Moderate</w:t>
            </w:r>
          </w:p>
        </w:tc>
        <w:tc>
          <w:tcPr>
            <w:tcW w:type="dxa" w:w="3024"/>
            <w:shd w:fill="F7FAFC"/>
            <w:tcMar>
              <w:top w:w="80" w:type="dxa"/>
              <w:bottom w:w="80" w:type="dxa"/>
              <w:left w:w="140" w:type="dxa"/>
              <w:right w:w="140" w:type="dxa"/>
            </w:tcMar>
          </w:tcPr>
          <w:p>
            <w:pPr>
              <w:spacing w:line="276" w:lineRule="auto" w:after="40" w:before="40"/>
            </w:pPr>
            <w:r>
              <w:rPr>
                <w:rFonts w:ascii="Calibri" w:hAnsi="Calibri"/>
                <w:color w:val="2D3748"/>
                <w:sz w:val="19"/>
              </w:rPr>
              <w:t>Implement high-loss sample auditing: filter out reviews where rating contradicts text sentiment using heuristic sentiment rules.</w:t>
            </w:r>
          </w:p>
        </w:tc>
      </w:tr>
      <w:tr>
        <w:tc>
          <w:tcPr>
            <w:tcW w:type="dxa" w:w="2160"/>
            <w:shd w:fill="FFFFFF"/>
            <w:tcMar>
              <w:top w:w="80" w:type="dxa"/>
              <w:bottom w:w="80" w:type="dxa"/>
              <w:left w:w="140" w:type="dxa"/>
              <w:right w:w="140" w:type="dxa"/>
            </w:tcMar>
          </w:tcPr>
          <w:p>
            <w:pPr>
              <w:spacing w:line="276" w:lineRule="auto" w:after="40" w:before="40"/>
            </w:pPr>
            <w:r>
              <w:rPr>
                <w:rFonts w:ascii="Calibri" w:hAnsi="Calibri"/>
                <w:color w:val="2D3748"/>
                <w:sz w:val="19"/>
              </w:rPr>
              <w:t>Hardware Constraints during Deep Learning</w:t>
            </w:r>
          </w:p>
        </w:tc>
        <w:tc>
          <w:tcPr>
            <w:tcW w:type="dxa" w:w="2592"/>
            <w:shd w:fill="FFFFFF"/>
            <w:tcMar>
              <w:top w:w="80" w:type="dxa"/>
              <w:bottom w:w="80" w:type="dxa"/>
              <w:left w:w="140" w:type="dxa"/>
              <w:right w:w="140" w:type="dxa"/>
            </w:tcMar>
          </w:tcPr>
          <w:p>
            <w:pPr>
              <w:spacing w:line="276" w:lineRule="auto" w:after="40" w:before="40"/>
            </w:pPr>
            <w:r>
              <w:rPr>
                <w:rFonts w:ascii="Calibri" w:hAnsi="Calibri"/>
                <w:color w:val="2D3748"/>
                <w:sz w:val="19"/>
              </w:rPr>
              <w:t>Fine-tuning DistilBERT on local CPU incurs timeout or memory exhaustion during 5-fold evaluation.</w:t>
            </w:r>
          </w:p>
        </w:tc>
        <w:tc>
          <w:tcPr>
            <w:tcW w:type="dxa" w:w="1584"/>
            <w:shd w:fill="FFFFFF"/>
            <w:tcMar>
              <w:top w:w="80" w:type="dxa"/>
              <w:bottom w:w="80" w:type="dxa"/>
              <w:left w:w="140" w:type="dxa"/>
              <w:right w:w="140" w:type="dxa"/>
            </w:tcMar>
          </w:tcPr>
          <w:p>
            <w:pPr>
              <w:spacing w:line="276" w:lineRule="auto" w:after="40" w:before="40"/>
            </w:pPr>
            <w:r>
              <w:rPr>
                <w:rFonts w:ascii="Calibri" w:hAnsi="Calibri"/>
                <w:color w:val="2D3748"/>
                <w:sz w:val="19"/>
              </w:rPr>
              <w:t>High / Low</w:t>
            </w:r>
          </w:p>
        </w:tc>
        <w:tc>
          <w:tcPr>
            <w:tcW w:type="dxa" w:w="3024"/>
            <w:shd w:fill="FFFFFF"/>
            <w:tcMar>
              <w:top w:w="80" w:type="dxa"/>
              <w:bottom w:w="80" w:type="dxa"/>
              <w:left w:w="140" w:type="dxa"/>
              <w:right w:w="140" w:type="dxa"/>
            </w:tcMar>
          </w:tcPr>
          <w:p>
            <w:pPr>
              <w:spacing w:line="276" w:lineRule="auto" w:after="40" w:before="40"/>
            </w:pPr>
            <w:r>
              <w:rPr>
                <w:rFonts w:ascii="Calibri" w:hAnsi="Calibri"/>
                <w:color w:val="2D3748"/>
                <w:sz w:val="19"/>
              </w:rPr>
              <w:t>Pre-compute embeddings where feasible; restrict batch size to 16 with gradient accumulation; execute heavy fine-tuning on Google Colab GPU tier.</w:t>
            </w:r>
          </w:p>
        </w:tc>
      </w:tr>
    </w:tbl>
    <w:p>
      <w:pPr>
        <w:spacing w:after="120"/>
      </w:pPr>
    </w:p>
    <w:p>
      <w:pPr>
        <w:pStyle w:val="Heading1"/>
        <w:spacing w:before="280" w:after="80"/>
      </w:pPr>
      <w:r>
        <w:rPr>
          <w:b/>
          <w:color w:val="1A365D"/>
        </w:rPr>
        <w:t>7. Summary &amp; Transition Plan for Week 4</w:t>
      </w:r>
    </w:p>
    <w:p>
      <w:r>
        <w:t>Week 3 establishes an airtight experimental design and metric formulation for IntelliFeedback. By rejecting naive accuracy in favor of Macro F1, Negative Class Recall, and Balanced Accuracy, the experimental setup aligns directly with enterprise customer retention objectives. The strict data partition protocol, Stratified 5-Fold Cross-Validation, and automated error analysis ensure that model performance can be measured with scientific integrity.</w:t>
      </w:r>
    </w:p>
    <w:p>
      <w:r>
        <w:t>Armed with this evaluation framework, the project transitions into Week 4 (Model Tuning, Deep Learning &amp; Optimization). Week 4 will execute the grid search optimization over the full 20,000+ review dataset, fine-tune the DistilBERT transformer, perform error analysis on edge cases, and produce final persisted model artifacts (.joblib / .pt) ready for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