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Documento mejorado para la presentación ejecutiva del SFM</w:t>
        <w:br/>
      </w:r>
      <w:r>
        <w:rPr>
          <w:sz w:val="28"/>
        </w:rPr>
        <w:t>BIVA - diapositivas 17 a 24</w:t>
      </w:r>
    </w:p>
    <w:p>
      <w:pPr>
        <w:jc w:val="center"/>
      </w:pPr>
      <w:r>
        <w:rPr>
          <w:b/>
        </w:rPr>
        <w:t>Corrección clave: Andrea cubre propuestas 1-5; esta parte cubre propuestas 6-10.</w:t>
        <w:br/>
      </w:r>
      <w:r>
        <w:t>Base revisada con el PDF actual de Canva, la consigna oficial y fuentes recientes sobre BIVA.</w:t>
      </w:r>
    </w:p>
    <w:p>
      <w:pPr>
        <w:pStyle w:val="Heading1"/>
        <w:spacing w:before="160" w:after="80"/>
      </w:pPr>
      <w:r>
        <w:t>1. Ajuste principal</w:t>
      </w:r>
    </w:p>
    <w:p>
      <w:pPr>
        <w:pStyle w:val="ListBullet"/>
        <w:spacing w:after="40"/>
      </w:pPr>
      <w:r>
        <w:t>La diapositiva 16 ya incluye cinco propuestas de Andrea, no cuatro.</w:t>
      </w:r>
    </w:p>
    <w:p>
      <w:pPr>
        <w:pStyle w:val="ListBullet"/>
        <w:spacing w:after="40"/>
      </w:pPr>
      <w:r>
        <w:t>La diapositiva 17 debe contener únicamente las propuestas 6-10 para equilibrar el trabajo: cinco propuestas por integrante.</w:t>
      </w:r>
    </w:p>
    <w:p>
      <w:pPr>
        <w:pStyle w:val="ListBullet"/>
        <w:spacing w:after="40"/>
      </w:pPr>
      <w:r>
        <w:t>El contenido debe ser más analítico: no basta decir 'hacer campañas'; cada propuesta debe atacar un problema concreto del mercado bursátil.</w:t>
      </w:r>
    </w:p>
    <w:p>
      <w:pPr>
        <w:pStyle w:val="ListBullet"/>
        <w:spacing w:after="40"/>
      </w:pPr>
      <w:r>
        <w:t>Se elimina el enfoque anterior sobre empresas pequeñas como eje central. La presentación debe concentrarse en competencia, liquidez, tecnología, educación financiera e impacto en el SFM.</w:t>
      </w:r>
    </w:p>
    <w:p>
      <w:pPr>
        <w:pStyle w:val="Heading1"/>
        <w:spacing w:before="160" w:after="80"/>
      </w:pPr>
      <w:r>
        <w:t>2. Auditoría del Canva actual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Diapositiva</w:t>
            </w:r>
          </w:p>
        </w:tc>
        <w:tc>
          <w:tcPr>
            <w:tcW w:type="dxa" w:w="4896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Estado actual</w:t>
            </w:r>
          </w:p>
        </w:tc>
        <w:tc>
          <w:tcPr>
            <w:tcW w:type="dxa" w:w="504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Acción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Propuestas 1-5 ya elaboradas por Andrea.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Conservar. No duplicar.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Plantilla Target Audience o texto parcial desordenado.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Reemplazar por propuestas 6-10.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Plantilla Market Overview.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 en impacto argumentado para el SFM.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Plantilla Financial Performance.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 en diagrama de sol.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20-21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Plantillas de métricas/satisfacción.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 en problemas relevantes de BIVA.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22-24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Plantillas Customer Satisfaction.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 en conclusiones individuales.</w:t>
            </w:r>
          </w:p>
        </w:tc>
      </w:tr>
    </w:tbl>
    <w:p/>
    <w:p>
      <w:pPr>
        <w:pStyle w:val="Heading1"/>
        <w:spacing w:before="160" w:after="80"/>
      </w:pPr>
      <w:r>
        <w:t>3. Contenido de alta calidad por diapositiva</w:t>
      </w:r>
    </w:p>
    <w:p>
      <w:pPr>
        <w:pStyle w:val="Heading2"/>
        <w:spacing w:before="160" w:after="80"/>
      </w:pPr>
      <w:r>
        <w:t>Diapositiva 17 - Propuestas de mejora 6 a 10</w:t>
      </w:r>
    </w:p>
    <w:p>
      <w:r>
        <w:t>Objetivo: complementar las cinco propuestas de Andrea con cinco propuestas más técnicas y defendibles, conectadas con datos y retos reales de BIVA.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2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388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Propuesta</w:t>
            </w:r>
          </w:p>
        </w:tc>
        <w:tc>
          <w:tcPr>
            <w:tcW w:type="dxa" w:w="6912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Argumento fuerte para exposición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 el crecimiento de 2024 en liquidez permanente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reportó 21% de participación de mercado y financiamiento a 95 empresas en 2024. El reto no es solo crecer un año, sino sostener profundidad: más posturas de compra/venta, menor dispersión de precios y mayor volumen diario.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Fortalecer el programa de proveedores de liquidez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Un proveedor de liquidez mantiene posturas de compra y venta bajo reglas definidas. Esto ataca uno de los problemas centrales del mercado mexicano: poca operación y baja confianza de inversionistas cuando sienten que no podrán comprar o vender con facilidad.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Publicar indicadores de impacto verificables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debe comunicar resultados con datos comparables: emisoras financiadas, monto colocado, participación de mercado, alumnos capacitados y operaciones. Esto evita que sus acciones se perciban como publicidad sin evidencia.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Vincular educación financiera con participación real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Instituto BIVA y Embajador BIVA Universitario no deben quedarse solo en cursos. Deben medir si los participantes comprenden riesgo, diversificación y funcionamiento del mercado para formar inversionistas responsables.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Diferenciarse con innovación y sostenibilidad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puede fortalecer su papel si usa tecnología, datos e instrumentos sostenibles para atraer emisores e inversionistas que buscan financiamiento moderno, transparente y alineado con criterios ambientales y sociales.</w:t>
            </w:r>
          </w:p>
        </w:tc>
      </w:tr>
    </w:tbl>
    <w:p/>
    <w:p>
      <w:pPr>
        <w:pStyle w:val="Heading3"/>
        <w:spacing w:before="160" w:after="80"/>
      </w:pPr>
      <w:r>
        <w:t>Texto corto para Canva - Slide 17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2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3312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Texto breve visible</w:t>
            </w:r>
          </w:p>
        </w:tc>
        <w:tc>
          <w:tcPr>
            <w:tcW w:type="dxa" w:w="748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Nota oral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Liquidez permanente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 basta crecer: se necesita operación constante y mercado profundo.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Proveedores de liquidez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Más compra/venta disponible reduce desconfianza.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Indicadores verificables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Resultados claros: empresas, monto, participación y alumnos capacitados.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Educación con impacto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Cursos que formen inversionistas responsables, no solo difusión.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Innovación sostenible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Tecnología e instrumentos sostenibles como diferenciador de BIVA.</w:t>
            </w:r>
          </w:p>
        </w:tc>
      </w:tr>
    </w:tbl>
    <w:p/>
    <w:p>
      <w:pPr>
        <w:pStyle w:val="Heading2"/>
        <w:spacing w:before="160" w:after="80"/>
      </w:pPr>
      <w:r>
        <w:t>Diapositiva 18 - Impacto en el SFM si se elimina BIVA</w:t>
      </w:r>
    </w:p>
    <w:p>
      <w:r>
        <w:t>Frase central:</w:t>
      </w:r>
    </w:p>
    <w:p>
      <w:pPr>
        <w:pStyle w:val="IntenseQuote"/>
      </w:pPr>
      <w:r>
        <w:t>Eliminar BIVA no solo quitaría una institución; reduciría la competencia que obliga al mercado bursátil mexicano a innovar, educar y ampliar sus alternativas.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Eje</w:t>
            </w:r>
          </w:p>
        </w:tc>
        <w:tc>
          <w:tcPr>
            <w:tcW w:type="dxa" w:w="9072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Argumento de mayor calidad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Competencia</w:t>
            </w:r>
          </w:p>
        </w:tc>
        <w:tc>
          <w:tcPr>
            <w:tcW w:type="dxa" w:w="90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México regresaría a una estructura más concentrada; la BMV tendría menor presión para mejorar costos, servicios y tiempos de ejecución.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Innovación</w:t>
            </w:r>
          </w:p>
        </w:tc>
        <w:tc>
          <w:tcPr>
            <w:tcW w:type="dxa" w:w="90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perdería una bolsa que ha usado tecnología y esquemas alternativos para intentar modernizar el mercado.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Confianza</w:t>
            </w:r>
          </w:p>
        </w:tc>
        <w:tc>
          <w:tcPr>
            <w:tcW w:type="dxa" w:w="90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desaparición enviaría una señal negativa: México no pudo sostener dos bolsas compitiendo dentro del SFM.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Educación</w:t>
            </w:r>
          </w:p>
        </w:tc>
        <w:tc>
          <w:tcPr>
            <w:tcW w:type="dxa" w:w="907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debilitaría el alcance del Instituto BIVA y de programas que conectan a jóvenes con cultura financiera y bursátil.</w:t>
            </w:r>
          </w:p>
        </w:tc>
      </w:tr>
    </w:tbl>
    <w:p/>
    <w:p>
      <w:pPr>
        <w:pStyle w:val="Heading2"/>
        <w:spacing w:before="160" w:after="80"/>
      </w:pPr>
      <w:r>
        <w:t>Diapositiva 19 - Diagrama de sol</w:t>
      </w:r>
    </w:p>
    <w:p>
      <w:r>
        <w:t>Centro del diagrama: ELIMINAR BIVA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6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Rayo</w:t>
            </w:r>
          </w:p>
        </w:tc>
        <w:tc>
          <w:tcPr>
            <w:tcW w:type="dxa" w:w="316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Texto breve</w:t>
            </w:r>
          </w:p>
        </w:tc>
        <w:tc>
          <w:tcPr>
            <w:tcW w:type="dxa" w:w="734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Argumento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Menor competencia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Una sola bolsa dominante reduce presión para mejorar.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Menos innovación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pierden incentivos para modernizar tecnología y servicios.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Menor liquidez potencial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Menos estrategias para aumentar operaciones y profundidad.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Señal negativa al SFM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Sugiere debilidad institucional del mercado bursátil.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Menos educación bursátil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reduce un canal de formación financiera.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Menor diversidad de opciones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Empresas e inversionistas pierden una alternativa.</w:t>
            </w:r>
          </w:p>
        </w:tc>
      </w:tr>
    </w:tbl>
    <w:p/>
    <w:p>
      <w:pPr>
        <w:pStyle w:val="Heading2"/>
        <w:spacing w:before="160" w:after="80"/>
      </w:pPr>
      <w:r>
        <w:t>Diapositivas 20 y 21 - Problemas relevantes de BIVA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Problema</w:t>
            </w:r>
          </w:p>
        </w:tc>
        <w:tc>
          <w:tcPr>
            <w:tcW w:type="dxa" w:w="662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Argumento mejorado</w:t>
            </w:r>
          </w:p>
        </w:tc>
        <w:tc>
          <w:tcPr>
            <w:tcW w:type="dxa" w:w="172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Slide sugerida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Mercado mexicano subutilizado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mercado de valores mexicano sigue siendo pequeño para el tamaño de la economía; BIVA compite en un entorno donde pocas empresas e inversionistas participan.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Liquidez limitada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baja operación hace que inversionistas teman no poder vender rápido o a buen precio; por eso las iniciativas de liquidez son críticas.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Dominio histórico de la BMV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compite contra una institución con reconocimiento, intermediarios y confianza acumulada durante décadas.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Educación financiera insuficiente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Aunque Instituto BIVA aporta, gran parte de la población aún no entiende riesgo, diversificación ni funcionamiento bursátil.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21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Comunicación de resultados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 BIVA no comunica impactos medibles, sus avances pueden parecer aislados y no una transformación real del mercado.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21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Dependencia de contexto económico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Tasas, incertidumbre y volatilidad afectan emisiones e inversión; BIVA no controla todo el entorno, pero sí debe adaptarse.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21</w:t>
            </w:r>
          </w:p>
        </w:tc>
      </w:tr>
    </w:tbl>
    <w:p/>
    <w:p>
      <w:pPr>
        <w:pStyle w:val="Heading2"/>
        <w:spacing w:before="160" w:after="80"/>
      </w:pPr>
      <w:r>
        <w:t>Diapositivas 22 a 24 - Conclusiones individuales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Slide</w:t>
            </w:r>
          </w:p>
        </w:tc>
        <w:tc>
          <w:tcPr>
            <w:tcW w:type="dxa" w:w="360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Alumno</w:t>
            </w:r>
          </w:p>
        </w:tc>
        <w:tc>
          <w:tcPr>
            <w:tcW w:type="dxa" w:w="6912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Conclusión de mayor calidad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Alanis Pacheco Sergio Esteban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es necesaria porque rompe la concentración del mercado; sin embargo, su éxito debe medirse por liquidez, confianza y crecimiento sostenido, no solo por existir como segunda bolsa.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Buenfil Valdez Alexis Alfredo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tecnología de BIVA es una ventaja estratégica, pero solo se vuelve relevante si ayuda a que más personas entiendan el mercado y participen con información.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Flores Juárez Susan Andrea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ha cumplido parcialmente: ha generado competencia, educación e innovación, pero todavía no transforma por completo la baja participación bursátil en México.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Memetla Martínez Misael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Eliminar BIVA sería un retroceso para el SFM porque concentraría el mercado y reduciría alternativas; lo correcto es fortalecerla con metas verificables y mayor liquidez.</w:t>
            </w:r>
          </w:p>
        </w:tc>
      </w:tr>
    </w:tbl>
    <w:p/>
    <w:p>
      <w:pPr>
        <w:pStyle w:val="Heading1"/>
        <w:spacing w:before="160" w:after="80"/>
      </w:pPr>
      <w:r>
        <w:t>4. Fuentes APA sugeridas</w:t>
      </w:r>
    </w:p>
    <w:p>
      <w:pPr>
        <w:pStyle w:val="ListBullet"/>
      </w:pPr>
      <w:r>
        <w:t xml:space="preserve">Bolsa Institucional de Valores [BIVA]. (2024, 17 de diciembre). Presenta BIVA balance del 2024, con resultados históricos para el mercado bursátil mexicano. </w:t>
      </w:r>
      <w:hyperlink r:id="rId11">
        <w:r>
          <w:rPr>
            <w:color w:val="0563C1"/>
            <w:u w:val="single"/>
          </w:rPr>
          <w:t>https://www.biva.mx/cms/documents/20123/a5df246d-6762-50f0-45a5-a0a5440a9502?download=true</w:t>
        </w:r>
      </w:hyperlink>
    </w:p>
    <w:p>
      <w:pPr>
        <w:pStyle w:val="ListBullet"/>
      </w:pPr>
      <w:r>
        <w:t xml:space="preserve">El Economista. (2026, 3 de febrero). BIVA da inicio al programa de liquidez con proveedores globales. </w:t>
      </w:r>
      <w:hyperlink r:id="rId12">
        <w:r>
          <w:rPr>
            <w:color w:val="0563C1"/>
            <w:u w:val="single"/>
          </w:rPr>
          <w:t>https://www.eleconomista.com.mx/mercados/biva-da-inicio-programa-liquidez-proveedores-globales-20260203-798196.html</w:t>
        </w:r>
      </w:hyperlink>
    </w:p>
    <w:p>
      <w:pPr>
        <w:pStyle w:val="ListBullet"/>
      </w:pPr>
      <w:r>
        <w:t xml:space="preserve">Instituto BIVA. (2026). Instituto BIVA. </w:t>
      </w:r>
      <w:hyperlink r:id="rId13">
        <w:r>
          <w:rPr>
            <w:color w:val="0563C1"/>
            <w:u w:val="single"/>
          </w:rPr>
          <w:t>https://campus-virtual.biva.mx/</w:t>
        </w:r>
      </w:hyperlink>
    </w:p>
    <w:p>
      <w:pPr>
        <w:pStyle w:val="ListBullet"/>
      </w:pPr>
      <w:r>
        <w:t xml:space="preserve">La Razón de México. (2024, 18 de diciembre). Biva acapara 21% del mercado. </w:t>
      </w:r>
      <w:hyperlink r:id="rId14">
        <w:r>
          <w:rPr>
            <w:color w:val="0563C1"/>
            <w:u w:val="single"/>
          </w:rPr>
          <w:t>https://www.razon.com.mx/negocios/2024/12/18/biva-acapara-21-del-mercado/</w:t>
        </w:r>
      </w:hyperlink>
    </w:p>
    <w:p>
      <w:pPr>
        <w:pStyle w:val="ListBullet"/>
      </w:pPr>
      <w:r>
        <w:t xml:space="preserve">Milenio. (2024, 26 de julio). BIVA cumple seis años con 20 por ciento de mercado bursátil en México. </w:t>
      </w:r>
      <w:hyperlink r:id="rId15">
        <w:r>
          <w:rPr>
            <w:color w:val="0563C1"/>
            <w:u w:val="single"/>
          </w:rPr>
          <w:t>https://www.milenio.com/negocios/biva-cumple-anos-20-ciento-mercado-bursatil-mexico</w:t>
        </w:r>
      </w:hyperlink>
    </w:p>
    <w:p>
      <w:pPr>
        <w:pStyle w:val="Heading1"/>
        <w:spacing w:before="160" w:after="80"/>
      </w:pPr>
      <w:r>
        <w:t>5. Checklist final para Canva</w:t>
      </w:r>
    </w:p>
    <w:p>
      <w:pPr>
        <w:pStyle w:val="ListBullet"/>
        <w:spacing w:after="40"/>
      </w:pPr>
      <w:r>
        <w:t>Slide 17 debe decir 6-10, no 5-10.</w:t>
      </w:r>
    </w:p>
    <w:p>
      <w:pPr>
        <w:pStyle w:val="ListBullet"/>
        <w:spacing w:after="40"/>
      </w:pPr>
      <w:r>
        <w:t>No saturar: en Canva usar palabras clave; el argumento largo queda para exposición.</w:t>
      </w:r>
    </w:p>
    <w:p>
      <w:pPr>
        <w:pStyle w:val="ListBullet"/>
        <w:spacing w:after="40"/>
      </w:pPr>
      <w:r>
        <w:t>Eliminar todo rastro de Hanover, Lorem ipsum, Financial Performance y Customer Satisfaction.</w:t>
      </w:r>
    </w:p>
    <w:p>
      <w:pPr>
        <w:pStyle w:val="ListBullet"/>
        <w:spacing w:after="40"/>
      </w:pPr>
      <w:r>
        <w:t>Mantener la estética ya usada: fondo oscuro, turquesa, llaves/flechas, títulos grandes y autor visible.</w:t>
      </w:r>
    </w:p>
    <w:p>
      <w:pPr>
        <w:pStyle w:val="ListBullet"/>
        <w:spacing w:after="40"/>
      </w:pPr>
      <w:r>
        <w:t>Si Canva permite edición, aplicar solo en slides 17-24.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Grupo 6IV8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BIVA - Documento v3 para Canva, diapositivas 17-24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va.mx/cms/documents/20123/a5df246d-6762-50f0-45a5-a0a5440a9502?download=true" TargetMode="External"/><Relationship Id="rId12" Type="http://schemas.openxmlformats.org/officeDocument/2006/relationships/hyperlink" Target="https://www.eleconomista.com.mx/mercados/biva-da-inicio-programa-liquidez-proveedores-globales-20260203-798196.html" TargetMode="External"/><Relationship Id="rId13" Type="http://schemas.openxmlformats.org/officeDocument/2006/relationships/hyperlink" Target="https://campus-virtual.biva.mx/" TargetMode="External"/><Relationship Id="rId14" Type="http://schemas.openxmlformats.org/officeDocument/2006/relationships/hyperlink" Target="https://www.razon.com.mx/negocios/2024/12/18/biva-acapara-21-del-mercado/" TargetMode="External"/><Relationship Id="rId15" Type="http://schemas.openxmlformats.org/officeDocument/2006/relationships/hyperlink" Target="https://www.milenio.com/negocios/biva-cumple-anos-20-ciento-mercado-bursatil-mex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