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Documento final mejorado para Canva</w:t>
        <w:br/>
      </w:r>
      <w:r>
        <w:rPr>
          <w:sz w:val="28"/>
        </w:rPr>
        <w:t>BIVA - diapositivas 17 a 24</w:t>
      </w:r>
    </w:p>
    <w:p>
      <w:pPr>
        <w:jc w:val="center"/>
      </w:pPr>
      <w:r>
        <w:rPr>
          <w:b/>
        </w:rPr>
        <w:t>Referencia usada: deck final 6IV8_BANXICO.pptx</w:t>
        <w:br/>
      </w:r>
      <w:r>
        <w:t>Criterio: adaptar su estructura, no copiar su contenido.</w:t>
      </w:r>
    </w:p>
    <w:p>
      <w:pPr>
        <w:pStyle w:val="Heading1"/>
        <w:spacing w:before="160" w:after="80"/>
      </w:pPr>
      <w:r>
        <w:t>1. Qué se toma del deck BANXICO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320"/>
            <w:shd w:fill="D9EDEB"/>
            <w:vAlign w:val="top"/>
          </w:tcPr>
          <w:p>
            <w:pPr>
              <w:spacing w:after="40"/>
            </w:pPr>
            <w:r/>
            <w:r>
              <w:rPr>
                <w:b/>
              </w:rPr>
              <w:t>Hallazgo útil</w:t>
            </w:r>
          </w:p>
        </w:tc>
        <w:tc>
          <w:tcPr>
            <w:tcW w:type="dxa" w:w="7056"/>
            <w:shd w:fill="D9EDEB"/>
            <w:vAlign w:val="top"/>
          </w:tcPr>
          <w:p>
            <w:pPr>
              <w:spacing w:after="40"/>
            </w:pPr>
            <w:r/>
            <w:r>
              <w:rPr>
                <w:b/>
              </w:rPr>
              <w:t>Cómo se adapta a BIVA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Propuestas con problema, acción y resultado</w:t>
            </w:r>
          </w:p>
        </w:tc>
        <w:tc>
          <w:tcPr>
            <w:tcW w:type="dxa" w:w="705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Slide 17 debe mostrar 6-10 como mejora concreta, no como lista decorativa.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Impacto como cadena causal</w:t>
            </w:r>
          </w:p>
        </w:tc>
        <w:tc>
          <w:tcPr>
            <w:tcW w:type="dxa" w:w="705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Slides 18-19 deben explicar qué se rompe en el SFM si BIVA desaparece.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Problemas actuales con factores y ejemplos</w:t>
            </w:r>
          </w:p>
        </w:tc>
        <w:tc>
          <w:tcPr>
            <w:tcW w:type="dxa" w:w="705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Slides 20-21 deben separar problema, causa y evidencia.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Conclusiones con postura institucional</w:t>
            </w:r>
          </w:p>
        </w:tc>
        <w:tc>
          <w:tcPr>
            <w:tcW w:type="dxa" w:w="705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Slides 22-24 deben tener postura crítica individual, no frases genéricas.</w:t>
            </w:r>
          </w:p>
        </w:tc>
      </w:tr>
    </w:tbl>
    <w:p/>
    <w:p>
      <w:pPr>
        <w:pStyle w:val="Heading1"/>
        <w:spacing w:before="160" w:after="80"/>
      </w:pPr>
      <w:r>
        <w:t>2. Solución recomendada para nuestra sección</w:t>
      </w:r>
    </w:p>
    <w:p>
      <w:pPr>
        <w:pStyle w:val="ListBullet"/>
        <w:spacing w:after="40"/>
      </w:pPr>
      <w:r>
        <w:t>Mantener slide 16 como Andrea la trabajó: propuestas 1-5.</w:t>
      </w:r>
    </w:p>
    <w:p>
      <w:pPr>
        <w:pStyle w:val="ListBullet"/>
        <w:spacing w:after="40"/>
      </w:pPr>
      <w:r>
        <w:t>Hacer slide 17 con propuestas 6-10, usando el mismo ritmo visual del deck BANXICO: tema principal, acción y efecto esperado.</w:t>
      </w:r>
    </w:p>
    <w:p>
      <w:pPr>
        <w:pStyle w:val="ListBullet"/>
        <w:spacing w:after="40"/>
      </w:pPr>
      <w:r>
        <w:t>Cambiar slides 18-19 a un diagrama de consecuencias por desaparición de BIVA.</w:t>
      </w:r>
    </w:p>
    <w:p>
      <w:pPr>
        <w:pStyle w:val="ListBullet"/>
        <w:spacing w:after="40"/>
      </w:pPr>
      <w:r>
        <w:t>Cambiar slides 20-21 a problemáticas actuales con ejemplos y fundamentos.</w:t>
      </w:r>
    </w:p>
    <w:p>
      <w:pPr>
        <w:pStyle w:val="ListBullet"/>
        <w:spacing w:after="40"/>
      </w:pPr>
      <w:r>
        <w:t>Cambiar slides 22-24 a conclusiones individuales con postura, argumento y cierre.</w:t>
      </w:r>
    </w:p>
    <w:p>
      <w:pPr>
        <w:pStyle w:val="Heading1"/>
        <w:spacing w:before="160" w:after="80"/>
      </w:pPr>
      <w:r>
        <w:t>3. Diapositiva 17 - Propuestas 6 a 10</w:t>
      </w:r>
    </w:p>
    <w:p>
      <w:r>
        <w:t>Formato recomendado en Canva: cinco bloques. Cada bloque debe tener: PROBLEMA -&gt; ACCIÓN -&gt; RESULTADO.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648"/>
            <w:shd w:fill="D9EDEB"/>
            <w:vAlign w:val="top"/>
          </w:tcPr>
          <w:p>
            <w:pPr>
              <w:spacing w:after="40"/>
            </w:pPr>
            <w:r/>
            <w:r>
              <w:rPr>
                <w:b/>
              </w:rPr>
              <w:t>No.</w:t>
            </w:r>
          </w:p>
        </w:tc>
        <w:tc>
          <w:tcPr>
            <w:tcW w:type="dxa" w:w="3024"/>
            <w:shd w:fill="D9EDEB"/>
            <w:vAlign w:val="top"/>
          </w:tcPr>
          <w:p>
            <w:pPr>
              <w:spacing w:after="40"/>
            </w:pPr>
            <w:r/>
            <w:r>
              <w:rPr>
                <w:b/>
              </w:rPr>
              <w:t>Problema detectado</w:t>
            </w:r>
          </w:p>
        </w:tc>
        <w:tc>
          <w:tcPr>
            <w:tcW w:type="dxa" w:w="4032"/>
            <w:shd w:fill="D9EDEB"/>
            <w:vAlign w:val="top"/>
          </w:tcPr>
          <w:p>
            <w:pPr>
              <w:spacing w:after="40"/>
            </w:pPr>
            <w:r/>
            <w:r>
              <w:rPr>
                <w:b/>
              </w:rPr>
              <w:t>Propuesta</w:t>
            </w:r>
          </w:p>
        </w:tc>
        <w:tc>
          <w:tcPr>
            <w:tcW w:type="dxa" w:w="3744"/>
            <w:shd w:fill="D9EDEB"/>
            <w:vAlign w:val="top"/>
          </w:tcPr>
          <w:p>
            <w:pPr>
              <w:spacing w:after="40"/>
            </w:pPr>
            <w:r/>
            <w:r>
              <w:rPr>
                <w:b/>
              </w:rPr>
              <w:t>Resultado esperado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6</w:t>
            </w:r>
          </w:p>
        </w:tc>
        <w:tc>
          <w:tcPr>
            <w:tcW w:type="dxa" w:w="302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Crecimiento no siempre significa profundidad.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Convertir la participación de mercado de BIVA en liquidez diaria permanente.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Más operaciones, precios más eficientes y mayor confianza para operar.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7</w:t>
            </w:r>
          </w:p>
        </w:tc>
        <w:tc>
          <w:tcPr>
            <w:tcW w:type="dxa" w:w="302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La baja liquidez reduce atractivo para inversionistas.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Fortalecer proveedores de liquidez y esquemas de incentivo tipo Maker-Taker.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Compras y ventas más constantes, con menor sensación de riesgo de salida.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8</w:t>
            </w:r>
          </w:p>
        </w:tc>
        <w:tc>
          <w:tcPr>
            <w:tcW w:type="dxa" w:w="302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Los avances pueden parecer aislados si no se miden.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Publicar indicadores trimestrales de impacto: mercado, financiamiento, operación y educación.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Mayor transparencia y evaluación real de resultados.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9</w:t>
            </w:r>
          </w:p>
        </w:tc>
        <w:tc>
          <w:tcPr>
            <w:tcW w:type="dxa" w:w="302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La educación financiera puede quedarse en difusión.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Vincular Instituto BIVA con prácticas medibles: simuladores, retos y seguimiento de aprendizaje.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Formar participantes que comprendan riesgo, diversificación y función bursátil.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10</w:t>
            </w:r>
          </w:p>
        </w:tc>
        <w:tc>
          <w:tcPr>
            <w:tcW w:type="dxa" w:w="302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BIVA necesita diferenciarse de la BMV.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Apostar por innovación tecnológica e instrumentos sostenibles como sello institucional.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Más identidad propia y atractivo para emisores e inversionistas modernos.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D9EDEB"/>
            <w:vAlign w:val="top"/>
          </w:tcPr>
          <w:p>
            <w:pPr>
              <w:spacing w:after="40"/>
            </w:pPr>
            <w:r/>
            <w:r>
              <w:rPr>
                <w:b/>
              </w:rPr>
              <w:t>Texto visible en Canva</w:t>
            </w:r>
          </w:p>
        </w:tc>
        <w:tc>
          <w:tcPr>
            <w:tcW w:type="dxa" w:w="7776"/>
            <w:shd w:fill="D9EDEB"/>
            <w:vAlign w:val="top"/>
          </w:tcPr>
          <w:p>
            <w:pPr>
              <w:spacing w:after="40"/>
            </w:pPr>
            <w:r/>
            <w:r>
              <w:rPr>
                <w:b/>
              </w:rPr>
              <w:t>Nota para exposición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6. Liquidez permanente</w:t>
            </w:r>
          </w:p>
        </w:tc>
        <w:tc>
          <w:tcPr>
            <w:tcW w:type="dxa" w:w="777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El dato de 21% de participación de mercado en 2024 debe convertirse en operación sostenida, no en resultado aislado.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7. Proveedores de liquidez</w:t>
            </w:r>
          </w:p>
        </w:tc>
        <w:tc>
          <w:tcPr>
            <w:tcW w:type="dxa" w:w="777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Ataca el problema de profundidad del mercado: que siempre existan posturas de compra y venta.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8. Indicadores verificables</w:t>
            </w:r>
          </w:p>
        </w:tc>
        <w:tc>
          <w:tcPr>
            <w:tcW w:type="dxa" w:w="777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Permite evaluar si BIVA realmente amplía el mercado o solo comunica avances.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9. Educación con medición</w:t>
            </w:r>
          </w:p>
        </w:tc>
        <w:tc>
          <w:tcPr>
            <w:tcW w:type="dxa" w:w="777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La educación financiera debe probar aprendizaje, no solo asistencia a cursos.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10. Innovación sostenible</w:t>
            </w:r>
          </w:p>
        </w:tc>
        <w:tc>
          <w:tcPr>
            <w:tcW w:type="dxa" w:w="777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Diferencia a BIVA frente a la BMV con tecnología e instrumentos de financiamiento responsable.</w:t>
            </w:r>
          </w:p>
        </w:tc>
      </w:tr>
    </w:tbl>
    <w:p/>
    <w:p>
      <w:pPr>
        <w:pStyle w:val="Heading1"/>
        <w:spacing w:before="160" w:after="80"/>
      </w:pPr>
      <w:r>
        <w:t>4. Diapositivas 18 y 19 - Impacto si se elimina BIVA</w:t>
      </w:r>
    </w:p>
    <w:p>
      <w:r>
        <w:t>Slide 18 debe introducir el argumento. Slide 19 debe mostrarlo como diagrama de sol.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160"/>
            <w:shd w:fill="D9EDEB"/>
            <w:vAlign w:val="top"/>
          </w:tcPr>
          <w:p>
            <w:pPr>
              <w:spacing w:after="40"/>
            </w:pPr>
            <w:r/>
            <w:r>
              <w:rPr>
                <w:b/>
              </w:rPr>
              <w:t>Eje de impacto</w:t>
            </w:r>
          </w:p>
        </w:tc>
        <w:tc>
          <w:tcPr>
            <w:tcW w:type="dxa" w:w="4608"/>
            <w:shd w:fill="D9EDEB"/>
            <w:vAlign w:val="top"/>
          </w:tcPr>
          <w:p>
            <w:pPr>
              <w:spacing w:after="40"/>
            </w:pPr>
            <w:r/>
            <w:r>
              <w:rPr>
                <w:b/>
              </w:rPr>
              <w:t>Consecuencia si desaparece BIVA</w:t>
            </w:r>
          </w:p>
        </w:tc>
        <w:tc>
          <w:tcPr>
            <w:tcW w:type="dxa" w:w="4608"/>
            <w:shd w:fill="D9EDEB"/>
            <w:vAlign w:val="top"/>
          </w:tcPr>
          <w:p>
            <w:pPr>
              <w:spacing w:after="40"/>
            </w:pPr>
            <w:r/>
            <w:r>
              <w:rPr>
                <w:b/>
              </w:rPr>
              <w:t>Por qué importa al SFM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Competencia</w:t>
            </w:r>
          </w:p>
        </w:tc>
        <w:tc>
          <w:tcPr>
            <w:tcW w:type="dxa" w:w="460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El mercado vuelve a concentrarse más en una sola bolsa.</w:t>
            </w:r>
          </w:p>
        </w:tc>
        <w:tc>
          <w:tcPr>
            <w:tcW w:type="dxa" w:w="460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Menos presión para mejorar costos, servicios y tecnología.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Liquidez</w:t>
            </w:r>
          </w:p>
        </w:tc>
        <w:tc>
          <w:tcPr>
            <w:tcW w:type="dxa" w:w="460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Se pierde una institución que impulsa estrategias para aumentar operación.</w:t>
            </w:r>
          </w:p>
        </w:tc>
        <w:tc>
          <w:tcPr>
            <w:tcW w:type="dxa" w:w="460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Menor profundidad reduce confianza de inversionistas.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Innovación</w:t>
            </w:r>
          </w:p>
        </w:tc>
        <w:tc>
          <w:tcPr>
            <w:tcW w:type="dxa" w:w="460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Se debilita una alternativa tecnológica al modelo tradicional.</w:t>
            </w:r>
          </w:p>
        </w:tc>
        <w:tc>
          <w:tcPr>
            <w:tcW w:type="dxa" w:w="460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El SFM necesita modernización para atraer participantes.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Educación financiera</w:t>
            </w:r>
          </w:p>
        </w:tc>
        <w:tc>
          <w:tcPr>
            <w:tcW w:type="dxa" w:w="460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Instituto BIVA pierde alcance como puente con jóvenes y nuevos usuarios.</w:t>
            </w:r>
          </w:p>
        </w:tc>
        <w:tc>
          <w:tcPr>
            <w:tcW w:type="dxa" w:w="460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Sin cultura bursátil no crece la base de inversionistas.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Confianza institucional</w:t>
            </w:r>
          </w:p>
        </w:tc>
        <w:tc>
          <w:tcPr>
            <w:tcW w:type="dxa" w:w="460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La desaparición mandaría señal de fragilidad competitiva.</w:t>
            </w:r>
          </w:p>
        </w:tc>
        <w:tc>
          <w:tcPr>
            <w:tcW w:type="dxa" w:w="460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Afecta percepción del mercado mexicano ante emisores e inversionistas.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D9EDEB"/>
            <w:vAlign w:val="top"/>
          </w:tcPr>
          <w:p>
            <w:pPr>
              <w:spacing w:after="40"/>
            </w:pPr>
            <w:r/>
            <w:r>
              <w:rPr>
                <w:b/>
              </w:rPr>
              <w:t>Centro del sol</w:t>
            </w:r>
          </w:p>
        </w:tc>
        <w:tc>
          <w:tcPr>
            <w:tcW w:type="dxa" w:w="8208"/>
            <w:shd w:fill="D9EDEB"/>
            <w:vAlign w:val="top"/>
          </w:tcPr>
          <w:p>
            <w:pPr>
              <w:spacing w:after="40"/>
            </w:pPr>
            <w:r/>
            <w:r>
              <w:rPr>
                <w:b/>
              </w:rPr>
              <w:t>Rayos recomendados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DESAPARICIÓN DE BIVA</w:t>
            </w:r>
          </w:p>
        </w:tc>
        <w:tc>
          <w:tcPr>
            <w:tcW w:type="dxa" w:w="820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Menor competencia | Mayor concentración | Menos innovación | Menor liquidez potencial | Menos educación bursátil | Señal negativa al SFM</w:t>
            </w:r>
          </w:p>
        </w:tc>
      </w:tr>
    </w:tbl>
    <w:p/>
    <w:p>
      <w:pPr>
        <w:pStyle w:val="Heading1"/>
        <w:spacing w:before="160" w:after="80"/>
      </w:pPr>
      <w:r>
        <w:t>5. Diapositivas 20 y 21 - Problemáticas actuales</w:t>
      </w:r>
    </w:p>
    <w:p>
      <w:r>
        <w:t>Formato recomendado como BANXICO: tres bloques por slide con título, factores y ejemplos.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008"/>
            <w:shd w:fill="D9EDEB"/>
            <w:vAlign w:val="top"/>
          </w:tcPr>
          <w:p>
            <w:pPr>
              <w:spacing w:after="40"/>
            </w:pPr>
            <w:r/>
            <w:r>
              <w:rPr>
                <w:b/>
              </w:rPr>
              <w:t>Slide</w:t>
            </w:r>
          </w:p>
        </w:tc>
        <w:tc>
          <w:tcPr>
            <w:tcW w:type="dxa" w:w="2880"/>
            <w:shd w:fill="D9EDEB"/>
            <w:vAlign w:val="top"/>
          </w:tcPr>
          <w:p>
            <w:pPr>
              <w:spacing w:after="40"/>
            </w:pPr>
            <w:r/>
            <w:r>
              <w:rPr>
                <w:b/>
              </w:rPr>
              <w:t>Problemática</w:t>
            </w:r>
          </w:p>
        </w:tc>
        <w:tc>
          <w:tcPr>
            <w:tcW w:type="dxa" w:w="3744"/>
            <w:shd w:fill="D9EDEB"/>
            <w:vAlign w:val="top"/>
          </w:tcPr>
          <w:p>
            <w:pPr>
              <w:spacing w:after="40"/>
            </w:pPr>
            <w:r/>
            <w:r>
              <w:rPr>
                <w:b/>
              </w:rPr>
              <w:t>Factores</w:t>
            </w:r>
          </w:p>
        </w:tc>
        <w:tc>
          <w:tcPr>
            <w:tcW w:type="dxa" w:w="3888"/>
            <w:shd w:fill="D9EDEB"/>
            <w:vAlign w:val="top"/>
          </w:tcPr>
          <w:p>
            <w:pPr>
              <w:spacing w:after="40"/>
            </w:pPr>
            <w:r/>
            <w:r>
              <w:rPr>
                <w:b/>
              </w:rPr>
              <w:t>Ejemplo / fundamento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20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Mercado bursátil subutilizado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Pocas empresas participan; baja cultura de inversión; preferencia por financiamiento tradicional.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BIVA ha crecido, pero el mercado mexicano sigue pequeño frente al potencial de la economía.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20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Liquidez limitada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Menor volumen diario; poca profundidad; miedo de no poder vender fácil.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BIVA impulsa programas de liquidez porque este sigue siendo un reto central.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20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Dominio histórico de BMV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Trayectoria, reconocimiento e intermediarios acumulados.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BIVA debe demostrar valor adicional, no solo existir como segunda bolsa.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21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Educación financiera insuficiente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Desconocimiento sobre riesgo, diversificación y mercado de valores.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Instituto BIVA ayuda, pero la participación ciudadana sigue limitada.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21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Comunicación de impacto débil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Avances dispersos; difícil comparar resultados.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Se necesitan indicadores claros: operación, emisoras, financiamiento y alumnos formados.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21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Entorno económico volátil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Tasas, incertidumbre, tipo de cambio y cautela de inversionistas.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Afecta emisiones, inversión y dinamismo del mercado.</w:t>
            </w:r>
          </w:p>
        </w:tc>
      </w:tr>
    </w:tbl>
    <w:p/>
    <w:p>
      <w:pPr>
        <w:pStyle w:val="Heading1"/>
        <w:spacing w:before="160" w:after="80"/>
      </w:pPr>
      <w:r>
        <w:t>6. Diapositivas 22 a 24 - Conclusiones individuales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008"/>
            <w:shd w:fill="D9EDEB"/>
            <w:vAlign w:val="top"/>
          </w:tcPr>
          <w:p>
            <w:pPr>
              <w:spacing w:after="40"/>
            </w:pPr>
            <w:r/>
            <w:r>
              <w:rPr>
                <w:b/>
              </w:rPr>
              <w:t>Slide</w:t>
            </w:r>
          </w:p>
        </w:tc>
        <w:tc>
          <w:tcPr>
            <w:tcW w:type="dxa" w:w="3168"/>
            <w:shd w:fill="D9EDEB"/>
            <w:vAlign w:val="top"/>
          </w:tcPr>
          <w:p>
            <w:pPr>
              <w:spacing w:after="40"/>
            </w:pPr>
            <w:r/>
            <w:r>
              <w:rPr>
                <w:b/>
              </w:rPr>
              <w:t>Alumno</w:t>
            </w:r>
          </w:p>
        </w:tc>
        <w:tc>
          <w:tcPr>
            <w:tcW w:type="dxa" w:w="2880"/>
            <w:shd w:fill="D9EDEB"/>
            <w:vAlign w:val="top"/>
          </w:tcPr>
          <w:p>
            <w:pPr>
              <w:spacing w:after="40"/>
            </w:pPr>
            <w:r/>
            <w:r>
              <w:rPr>
                <w:b/>
              </w:rPr>
              <w:t>Postura</w:t>
            </w:r>
          </w:p>
        </w:tc>
        <w:tc>
          <w:tcPr>
            <w:tcW w:type="dxa" w:w="4464"/>
            <w:shd w:fill="D9EDEB"/>
            <w:vAlign w:val="top"/>
          </w:tcPr>
          <w:p>
            <w:pPr>
              <w:spacing w:after="40"/>
            </w:pPr>
            <w:r/>
            <w:r>
              <w:rPr>
                <w:b/>
              </w:rPr>
              <w:t>Argumento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22</w:t>
            </w:r>
          </w:p>
        </w:tc>
        <w:tc>
          <w:tcPr>
            <w:tcW w:type="dxa" w:w="316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Alanis Pacheco Sergio Esteban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BIVA debe mantenerse.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Su existencia rompe concentración, pero debe probar éxito con liquidez sostenida y confianza real.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22</w:t>
            </w:r>
          </w:p>
        </w:tc>
        <w:tc>
          <w:tcPr>
            <w:tcW w:type="dxa" w:w="316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Buenfil Valdez Alexis Alfredo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La tecnología es ventaja, no solución automática.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BIVA solo será relevante si su innovación se traduce en operaciones, educación y transparencia.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23</w:t>
            </w:r>
          </w:p>
        </w:tc>
        <w:tc>
          <w:tcPr>
            <w:tcW w:type="dxa" w:w="316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Flores Juárez Susan Andrea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Cumple parcialmente.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Aporta competencia y educación, pero todavía no transforma de fondo la baja participación bursátil.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24</w:t>
            </w:r>
          </w:p>
        </w:tc>
        <w:tc>
          <w:tcPr>
            <w:tcW w:type="dxa" w:w="3168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Memetla Martínez Misael</w:t>
            </w:r>
          </w:p>
        </w:tc>
        <w:tc>
          <w:tcPr>
            <w:tcW w:type="dxa" w:w="288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Eliminarla sería retroceso.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El SFM perdería competencia, diversidad institucional y una vía para modernizar el mercado de valores.</w:t>
            </w:r>
          </w:p>
        </w:tc>
      </w:tr>
    </w:tbl>
    <w:p/>
    <w:p>
      <w:pPr>
        <w:pStyle w:val="Heading1"/>
        <w:spacing w:before="160" w:after="80"/>
      </w:pPr>
      <w:r>
        <w:t>7. Fuentes base</w:t>
      </w:r>
    </w:p>
    <w:p>
      <w:pPr>
        <w:pStyle w:val="ListBullet"/>
      </w:pPr>
      <w:r>
        <w:t xml:space="preserve">Bolsa Institucional de Valores [BIVA]. (2024, 17 de diciembre). Presenta BIVA balance del 2024, con resultados históricos para el mercado bursátil mexicano. </w:t>
      </w:r>
      <w:hyperlink r:id="rId11">
        <w:r>
          <w:rPr>
            <w:color w:val="0563C1"/>
            <w:u w:val="single"/>
          </w:rPr>
          <w:t>https://www.biva.mx/cms/documents/20123/a5df246d-6762-50f0-45a5-a0a5440a9502?download=true</w:t>
        </w:r>
      </w:hyperlink>
    </w:p>
    <w:p>
      <w:pPr>
        <w:pStyle w:val="ListBullet"/>
      </w:pPr>
      <w:r>
        <w:t xml:space="preserve">El Economista. (2026, 3 de febrero). BIVA da inicio al programa de liquidez con proveedores globales. </w:t>
      </w:r>
      <w:hyperlink r:id="rId12">
        <w:r>
          <w:rPr>
            <w:color w:val="0563C1"/>
            <w:u w:val="single"/>
          </w:rPr>
          <w:t>https://www.eleconomista.com.mx/mercados/biva-da-inicio-programa-liquidez-proveedores-globales-20260203-798196.html</w:t>
        </w:r>
      </w:hyperlink>
    </w:p>
    <w:p>
      <w:pPr>
        <w:pStyle w:val="ListBullet"/>
      </w:pPr>
      <w:r>
        <w:t xml:space="preserve">Instituto BIVA. (2026). Instituto BIVA. </w:t>
      </w:r>
      <w:hyperlink r:id="rId13">
        <w:r>
          <w:rPr>
            <w:color w:val="0563C1"/>
            <w:u w:val="single"/>
          </w:rPr>
          <w:t>https://campus-virtual.biva.mx/</w:t>
        </w:r>
      </w:hyperlink>
    </w:p>
    <w:p>
      <w:pPr>
        <w:pStyle w:val="ListBullet"/>
      </w:pPr>
      <w:r>
        <w:t xml:space="preserve">La Razón de México. (2024, 18 de diciembre). Biva acapara 21% del mercado. </w:t>
      </w:r>
      <w:hyperlink r:id="rId14">
        <w:r>
          <w:rPr>
            <w:color w:val="0563C1"/>
            <w:u w:val="single"/>
          </w:rPr>
          <w:t>https://www.razon.com.mx/negocios/2024/12/18/biva-acapara-21-del-mercado/</w:t>
        </w:r>
      </w:hyperlink>
    </w:p>
    <w:p>
      <w:pPr>
        <w:pStyle w:val="ListBullet"/>
      </w:pPr>
      <w:r>
        <w:t xml:space="preserve">Milenio. (2024, 26 de julio). BIVA cumple seis años con 20 por ciento de mercado bursátil en México. </w:t>
      </w:r>
      <w:hyperlink r:id="rId15">
        <w:r>
          <w:rPr>
            <w:color w:val="0563C1"/>
            <w:u w:val="single"/>
          </w:rPr>
          <w:t>https://www.milenio.com/negocios/biva-cumple-anos-20-ciento-mercado-bursatil-mexico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6"/>
      </w:rPr>
      <w:t>Grupo 6IV8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A5A5A"/>
        <w:sz w:val="16"/>
      </w:rPr>
      <w:t>BIVA - Versión mejorada con referencia BANXICO, diapositivas 17-24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iva.mx/cms/documents/20123/a5df246d-6762-50f0-45a5-a0a5440a9502?download=true" TargetMode="External"/><Relationship Id="rId12" Type="http://schemas.openxmlformats.org/officeDocument/2006/relationships/hyperlink" Target="https://www.eleconomista.com.mx/mercados/biva-da-inicio-programa-liquidez-proveedores-globales-20260203-798196.html" TargetMode="External"/><Relationship Id="rId13" Type="http://schemas.openxmlformats.org/officeDocument/2006/relationships/hyperlink" Target="https://campus-virtual.biva.mx/" TargetMode="External"/><Relationship Id="rId14" Type="http://schemas.openxmlformats.org/officeDocument/2006/relationships/hyperlink" Target="https://www.razon.com.mx/negocios/2024/12/18/biva-acapara-21-del-mercado/" TargetMode="External"/><Relationship Id="rId15" Type="http://schemas.openxmlformats.org/officeDocument/2006/relationships/hyperlink" Target="https://www.milenio.com/negocios/biva-cumple-anos-20-ciento-mercado-bursatil-mexi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