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3181" w14:textId="7DBD0CDC" w:rsidR="00612655" w:rsidRPr="00612655" w:rsidRDefault="00612655" w:rsidP="003D1F26">
      <w:pPr>
        <w:pStyle w:val="Heading1"/>
        <w:jc w:val="center"/>
      </w:pPr>
      <w:r w:rsidRPr="00612655">
        <w:t>Chemicals in Cosmetics</w:t>
      </w:r>
      <w:r w:rsidRPr="00612655">
        <w:t xml:space="preserve"> Report</w:t>
      </w:r>
    </w:p>
    <w:p w14:paraId="3092BE60" w14:textId="77777777" w:rsidR="003D1F26" w:rsidRDefault="003D1F26" w:rsidP="00612655">
      <w:pPr>
        <w:rPr>
          <w:b/>
          <w:bCs/>
          <w:i/>
          <w:iCs/>
          <w:sz w:val="32"/>
          <w:szCs w:val="32"/>
        </w:rPr>
      </w:pPr>
    </w:p>
    <w:p w14:paraId="5B1A681E" w14:textId="28611C98" w:rsidR="00612655" w:rsidRPr="00A90B9F" w:rsidRDefault="00612655" w:rsidP="00612655">
      <w:pPr>
        <w:rPr>
          <w:b/>
          <w:bCs/>
          <w:i/>
          <w:iCs/>
          <w:sz w:val="32"/>
          <w:szCs w:val="32"/>
        </w:rPr>
      </w:pPr>
      <w:r w:rsidRPr="00A90B9F">
        <w:rPr>
          <w:b/>
          <w:bCs/>
          <w:i/>
          <w:iCs/>
          <w:sz w:val="32"/>
          <w:szCs w:val="32"/>
        </w:rPr>
        <w:t>Introduction</w:t>
      </w:r>
    </w:p>
    <w:p w14:paraId="264E1331" w14:textId="1D47546D" w:rsidR="00612655" w:rsidRDefault="00612655" w:rsidP="00612655">
      <w:r>
        <w:t xml:space="preserve">The California Safe Cosmetics Program (CSCP) is a regulatory initiative by the California Department of Public Health (CDPH) </w:t>
      </w:r>
      <w:r>
        <w:t>to collect and disseminate</w:t>
      </w:r>
      <w:r>
        <w:t xml:space="preserve"> information about hazardous and potentially hazardous ingredients in cosmetic products sold within the state. The primary objective of the CSCP is to ensure transparency and public awareness regarding the potential risks associated with certain ingredients known or suspected to cause cancer, birth defects, or other developmental or reproductive harm.</w:t>
      </w:r>
    </w:p>
    <w:p w14:paraId="1C42F8B9" w14:textId="77777777" w:rsidR="00612655" w:rsidRDefault="00612655" w:rsidP="00612655"/>
    <w:p w14:paraId="504C9458" w14:textId="0F79CB86" w:rsidR="00612655" w:rsidRPr="00A90B9F" w:rsidRDefault="00612655" w:rsidP="00612655">
      <w:pPr>
        <w:rPr>
          <w:b/>
          <w:bCs/>
          <w:i/>
          <w:iCs/>
          <w:sz w:val="32"/>
          <w:szCs w:val="32"/>
        </w:rPr>
      </w:pPr>
      <w:r w:rsidRPr="00A90B9F">
        <w:rPr>
          <w:b/>
          <w:bCs/>
          <w:i/>
          <w:iCs/>
          <w:sz w:val="32"/>
          <w:szCs w:val="32"/>
        </w:rPr>
        <w:t>Task</w:t>
      </w:r>
    </w:p>
    <w:p w14:paraId="50EB606D" w14:textId="722A8661" w:rsidR="00612655" w:rsidRDefault="00612655" w:rsidP="00612655">
      <w:r>
        <w:t>The task involves analyzing the data reported to the CSCP by cosmetic product manufacturers, packers, and distributors. This data encompasses various aspects of the products, including label names, company information, brand names, product categories, Chemical Abstracts Service (CAS) registry numbers, chemical ingredient names, reported chemical counts, and relevant dates such as initial reporting, discontinuation, or reformulation.</w:t>
      </w:r>
    </w:p>
    <w:p w14:paraId="36DEDEB1" w14:textId="77777777" w:rsidR="00612655" w:rsidRDefault="00612655" w:rsidP="00612655">
      <w:r>
        <w:t>The analysis should aim to provide insights into the following areas:</w:t>
      </w:r>
    </w:p>
    <w:p w14:paraId="0DF60D9F" w14:textId="77777777" w:rsidR="00612655" w:rsidRDefault="00612655" w:rsidP="00612655">
      <w:r>
        <w:t>1. Identifying and counting distinct product names, companies, brands, categories, sub-categories, CAS numbers, chemical IDs, and chemical names.</w:t>
      </w:r>
    </w:p>
    <w:p w14:paraId="33753DB1" w14:textId="77777777" w:rsidR="00612655" w:rsidRDefault="00612655" w:rsidP="00612655">
      <w:r>
        <w:t>2. Filtering and quantifying products with specific characteristics, such as non-blank CSF values, discontinued products, or products containing certain chemicals.</w:t>
      </w:r>
    </w:p>
    <w:p w14:paraId="33CC7A3B" w14:textId="48F15196" w:rsidR="00612655" w:rsidRDefault="00612655" w:rsidP="00612655">
      <w:r>
        <w:t xml:space="preserve">3. Calculating the time differences between initial and most recent reporting dates, expressed in </w:t>
      </w:r>
      <w:r w:rsidR="00245D89">
        <w:t xml:space="preserve">a </w:t>
      </w:r>
      <w:r>
        <w:t xml:space="preserve">number of </w:t>
      </w:r>
      <w:r>
        <w:t>days.</w:t>
      </w:r>
    </w:p>
    <w:p w14:paraId="4679F57C" w14:textId="0892AC2B" w:rsidR="00612655" w:rsidRDefault="00612655" w:rsidP="00612655">
      <w:r>
        <w:t xml:space="preserve">4. Counting chemicals reported within specific date ranges or </w:t>
      </w:r>
      <w:r>
        <w:t>periods</w:t>
      </w:r>
      <w:r>
        <w:t>.</w:t>
      </w:r>
    </w:p>
    <w:p w14:paraId="4FCB7DE6" w14:textId="77777777" w:rsidR="00612655" w:rsidRDefault="00612655" w:rsidP="00612655">
      <w:r>
        <w:t>5. Creating time intelligence reports and visualizations to analyze trends in chemical reporting over time.</w:t>
      </w:r>
    </w:p>
    <w:p w14:paraId="24F656A9" w14:textId="09A204D5" w:rsidR="00612655" w:rsidRDefault="00612655" w:rsidP="00612655">
      <w:r>
        <w:t>6. Grouping and summarizing data by categories, sub-categories, companies, or brands.</w:t>
      </w:r>
    </w:p>
    <w:p w14:paraId="196758F4" w14:textId="43988660" w:rsidR="00612655" w:rsidRDefault="00612655" w:rsidP="00612655">
      <w:r>
        <w:t>7</w:t>
      </w:r>
      <w:r>
        <w:t>. Calculating year-over-year changes in the number of reported chemicals.</w:t>
      </w:r>
    </w:p>
    <w:p w14:paraId="34DA1DAA" w14:textId="11C6670D" w:rsidR="00612655" w:rsidRDefault="00612655" w:rsidP="00612655">
      <w:r>
        <w:t>8</w:t>
      </w:r>
      <w:r>
        <w:t xml:space="preserve">. </w:t>
      </w:r>
      <w:r>
        <w:t>Develop</w:t>
      </w:r>
      <w:r>
        <w:t xml:space="preserve"> interactive reports with slicers and filters to enable user-driven </w:t>
      </w:r>
      <w:r>
        <w:t>data exploration</w:t>
      </w:r>
      <w:r>
        <w:t xml:space="preserve"> based on different criteria.</w:t>
      </w:r>
    </w:p>
    <w:p w14:paraId="7D0654B9" w14:textId="7FD4B467" w:rsidR="00245D89" w:rsidRDefault="00245D89" w:rsidP="00245D89">
      <w:r>
        <w:t>The analysis should provide valuable insights into the reporting practices, product compositions, and potential risks associated with cosmetic products sold in California</w:t>
      </w:r>
      <w:r>
        <w:t>.</w:t>
      </w:r>
    </w:p>
    <w:p w14:paraId="4AA49E7E" w14:textId="77777777" w:rsidR="003D1F26" w:rsidRDefault="003D1F26" w:rsidP="00A90B9F">
      <w:pPr>
        <w:rPr>
          <w:b/>
          <w:bCs/>
          <w:i/>
          <w:iCs/>
          <w:sz w:val="32"/>
          <w:szCs w:val="32"/>
        </w:rPr>
      </w:pPr>
    </w:p>
    <w:p w14:paraId="4B792A94" w14:textId="51ABE608" w:rsidR="00A90B9F" w:rsidRPr="00A90B9F" w:rsidRDefault="00A90B9F" w:rsidP="00A90B9F">
      <w:pPr>
        <w:rPr>
          <w:b/>
          <w:bCs/>
          <w:i/>
          <w:iCs/>
          <w:sz w:val="32"/>
          <w:szCs w:val="32"/>
        </w:rPr>
      </w:pPr>
      <w:r>
        <w:rPr>
          <w:b/>
          <w:bCs/>
          <w:i/>
          <w:iCs/>
          <w:sz w:val="32"/>
          <w:szCs w:val="32"/>
        </w:rPr>
        <w:lastRenderedPageBreak/>
        <w:t>Action</w:t>
      </w:r>
    </w:p>
    <w:p w14:paraId="0A07407D" w14:textId="04DA9C54" w:rsidR="00245D89" w:rsidRDefault="00A90B9F" w:rsidP="00612655">
      <w:r>
        <w:t xml:space="preserve">The data provided was relatively clean. I checked for blank rows and checked to ensure that each column had the appropriate data type. After this was done, </w:t>
      </w:r>
      <w:r w:rsidR="003D1F26">
        <w:t xml:space="preserve">I used DAX functions to create measures to get insight during the analysis. </w:t>
      </w:r>
    </w:p>
    <w:p w14:paraId="29AA7980" w14:textId="5B676355" w:rsidR="00A90B9F" w:rsidRDefault="00A90B9F" w:rsidP="00612655"/>
    <w:p w14:paraId="536BDC16" w14:textId="1C074518" w:rsidR="00291816" w:rsidRDefault="00291816" w:rsidP="00291816">
      <w:pPr>
        <w:rPr>
          <w:b/>
          <w:bCs/>
          <w:i/>
          <w:iCs/>
          <w:sz w:val="32"/>
          <w:szCs w:val="32"/>
        </w:rPr>
      </w:pPr>
      <w:r>
        <w:rPr>
          <w:b/>
          <w:bCs/>
          <w:i/>
          <w:iCs/>
          <w:sz w:val="32"/>
          <w:szCs w:val="32"/>
        </w:rPr>
        <w:t>Exploratory Data Analysis</w:t>
      </w:r>
    </w:p>
    <w:p w14:paraId="39B704F0" w14:textId="2DA3D8C8" w:rsidR="00610FEE" w:rsidRPr="00CA7D74" w:rsidRDefault="00610FEE" w:rsidP="00610FEE">
      <w:pPr>
        <w:pStyle w:val="NormalWeb"/>
        <w:numPr>
          <w:ilvl w:val="0"/>
          <w:numId w:val="1"/>
        </w:numPr>
        <w:rPr>
          <w:rFonts w:asciiTheme="minorHAnsi" w:hAnsiTheme="minorHAnsi" w:cstheme="minorHAnsi"/>
          <w:sz w:val="22"/>
          <w:szCs w:val="22"/>
        </w:rPr>
      </w:pPr>
      <w:r w:rsidRPr="00CA7D74">
        <w:rPr>
          <w:rFonts w:asciiTheme="minorHAnsi" w:hAnsiTheme="minorHAnsi" w:cstheme="minorHAnsi"/>
          <w:sz w:val="22"/>
          <w:szCs w:val="22"/>
        </w:rPr>
        <w:t>Data profiling</w:t>
      </w:r>
      <w:r w:rsidRPr="00CA7D74">
        <w:rPr>
          <w:rFonts w:asciiTheme="minorHAnsi" w:hAnsiTheme="minorHAnsi" w:cstheme="minorHAnsi"/>
          <w:sz w:val="22"/>
          <w:szCs w:val="22"/>
        </w:rPr>
        <w:t>: this</w:t>
      </w:r>
      <w:r w:rsidRPr="00CA7D74">
        <w:rPr>
          <w:rFonts w:asciiTheme="minorHAnsi" w:hAnsiTheme="minorHAnsi" w:cstheme="minorHAnsi"/>
          <w:sz w:val="22"/>
          <w:szCs w:val="22"/>
        </w:rPr>
        <w:t xml:space="preserve"> involve</w:t>
      </w:r>
      <w:r w:rsidRPr="00CA7D74">
        <w:rPr>
          <w:rFonts w:asciiTheme="minorHAnsi" w:hAnsiTheme="minorHAnsi" w:cstheme="minorHAnsi"/>
          <w:sz w:val="22"/>
          <w:szCs w:val="22"/>
        </w:rPr>
        <w:t>d</w:t>
      </w:r>
      <w:r w:rsidRPr="00CA7D74">
        <w:rPr>
          <w:rFonts w:asciiTheme="minorHAnsi" w:hAnsiTheme="minorHAnsi" w:cstheme="minorHAnsi"/>
          <w:sz w:val="22"/>
          <w:szCs w:val="22"/>
        </w:rPr>
        <w:t xml:space="preserve"> understanding the data’s structure and content by examining its columns and data types. I check</w:t>
      </w:r>
      <w:r w:rsidRPr="00CA7D74">
        <w:rPr>
          <w:rFonts w:asciiTheme="minorHAnsi" w:hAnsiTheme="minorHAnsi" w:cstheme="minorHAnsi"/>
          <w:sz w:val="22"/>
          <w:szCs w:val="22"/>
        </w:rPr>
        <w:t>ed</w:t>
      </w:r>
      <w:r w:rsidRPr="00CA7D74">
        <w:rPr>
          <w:rFonts w:asciiTheme="minorHAnsi" w:hAnsiTheme="minorHAnsi" w:cstheme="minorHAnsi"/>
          <w:sz w:val="22"/>
          <w:szCs w:val="22"/>
        </w:rPr>
        <w:t xml:space="preserve"> for missing values, duplicates, and outliers in specific columns, and </w:t>
      </w:r>
      <w:r w:rsidR="00485080" w:rsidRPr="00CA7D74">
        <w:rPr>
          <w:rFonts w:asciiTheme="minorHAnsi" w:hAnsiTheme="minorHAnsi" w:cstheme="minorHAnsi"/>
          <w:sz w:val="22"/>
          <w:szCs w:val="22"/>
        </w:rPr>
        <w:t>identified</w:t>
      </w:r>
      <w:r w:rsidRPr="00CA7D74">
        <w:rPr>
          <w:rFonts w:asciiTheme="minorHAnsi" w:hAnsiTheme="minorHAnsi" w:cstheme="minorHAnsi"/>
          <w:sz w:val="22"/>
          <w:szCs w:val="22"/>
        </w:rPr>
        <w:t xml:space="preserve"> potential data quality issues or inconsistencies in various columns.</w:t>
      </w:r>
    </w:p>
    <w:p w14:paraId="51A00973" w14:textId="261188D8" w:rsidR="00016C7C" w:rsidRPr="00CA7D74" w:rsidRDefault="00016C7C" w:rsidP="00016C7C">
      <w:pPr>
        <w:pStyle w:val="NormalWeb"/>
        <w:numPr>
          <w:ilvl w:val="0"/>
          <w:numId w:val="1"/>
        </w:numPr>
        <w:rPr>
          <w:rFonts w:asciiTheme="minorHAnsi" w:hAnsiTheme="minorHAnsi" w:cstheme="minorHAnsi"/>
          <w:sz w:val="22"/>
          <w:szCs w:val="22"/>
        </w:rPr>
      </w:pPr>
      <w:r w:rsidRPr="00CA7D74">
        <w:rPr>
          <w:rFonts w:asciiTheme="minorHAnsi" w:hAnsiTheme="minorHAnsi" w:cstheme="minorHAnsi"/>
          <w:sz w:val="22"/>
          <w:szCs w:val="22"/>
        </w:rPr>
        <w:t>Univariate analysis</w:t>
      </w:r>
      <w:r w:rsidRPr="00CA7D74">
        <w:rPr>
          <w:rFonts w:asciiTheme="minorHAnsi" w:hAnsiTheme="minorHAnsi" w:cstheme="minorHAnsi"/>
          <w:sz w:val="22"/>
          <w:szCs w:val="22"/>
        </w:rPr>
        <w:t xml:space="preserve">: </w:t>
      </w:r>
      <w:r w:rsidR="007B26F7" w:rsidRPr="00CA7D74">
        <w:rPr>
          <w:rFonts w:asciiTheme="minorHAnsi" w:hAnsiTheme="minorHAnsi" w:cstheme="minorHAnsi"/>
          <w:sz w:val="22"/>
          <w:szCs w:val="22"/>
        </w:rPr>
        <w:t xml:space="preserve">I </w:t>
      </w:r>
      <w:r w:rsidRPr="00CA7D74">
        <w:rPr>
          <w:rFonts w:asciiTheme="minorHAnsi" w:hAnsiTheme="minorHAnsi" w:cstheme="minorHAnsi"/>
          <w:sz w:val="22"/>
          <w:szCs w:val="22"/>
        </w:rPr>
        <w:t>calculat</w:t>
      </w:r>
      <w:r w:rsidR="007B26F7" w:rsidRPr="00CA7D74">
        <w:rPr>
          <w:rFonts w:asciiTheme="minorHAnsi" w:hAnsiTheme="minorHAnsi" w:cstheme="minorHAnsi"/>
          <w:sz w:val="22"/>
          <w:szCs w:val="22"/>
        </w:rPr>
        <w:t>ed</w:t>
      </w:r>
      <w:r w:rsidRPr="00CA7D74">
        <w:rPr>
          <w:rFonts w:asciiTheme="minorHAnsi" w:hAnsiTheme="minorHAnsi" w:cstheme="minorHAnsi"/>
          <w:sz w:val="22"/>
          <w:szCs w:val="22"/>
        </w:rPr>
        <w:t xml:space="preserve"> summary statistics for specific columns, </w:t>
      </w:r>
      <w:r w:rsidR="00D13DAF" w:rsidRPr="00CA7D74">
        <w:rPr>
          <w:rFonts w:asciiTheme="minorHAnsi" w:hAnsiTheme="minorHAnsi" w:cstheme="minorHAnsi"/>
          <w:sz w:val="22"/>
          <w:szCs w:val="22"/>
        </w:rPr>
        <w:t>created</w:t>
      </w:r>
      <w:r w:rsidRPr="00CA7D74">
        <w:rPr>
          <w:rFonts w:asciiTheme="minorHAnsi" w:hAnsiTheme="minorHAnsi" w:cstheme="minorHAnsi"/>
          <w:sz w:val="22"/>
          <w:szCs w:val="22"/>
        </w:rPr>
        <w:t xml:space="preserve"> </w:t>
      </w:r>
      <w:r w:rsidRPr="00CA7D74">
        <w:rPr>
          <w:rFonts w:asciiTheme="minorHAnsi" w:hAnsiTheme="minorHAnsi" w:cstheme="minorHAnsi"/>
          <w:sz w:val="22"/>
          <w:szCs w:val="22"/>
        </w:rPr>
        <w:t>measures</w:t>
      </w:r>
      <w:r w:rsidRPr="00CA7D74">
        <w:rPr>
          <w:rFonts w:asciiTheme="minorHAnsi" w:hAnsiTheme="minorHAnsi" w:cstheme="minorHAnsi"/>
          <w:sz w:val="22"/>
          <w:szCs w:val="22"/>
        </w:rPr>
        <w:t xml:space="preserve"> for categorical columns to understand their distribution, and visualiz</w:t>
      </w:r>
      <w:r w:rsidR="007B26F7" w:rsidRPr="00CA7D74">
        <w:rPr>
          <w:rFonts w:asciiTheme="minorHAnsi" w:hAnsiTheme="minorHAnsi" w:cstheme="minorHAnsi"/>
          <w:sz w:val="22"/>
          <w:szCs w:val="22"/>
        </w:rPr>
        <w:t>ed these</w:t>
      </w:r>
      <w:r w:rsidRPr="00CA7D74">
        <w:rPr>
          <w:rFonts w:asciiTheme="minorHAnsi" w:hAnsiTheme="minorHAnsi" w:cstheme="minorHAnsi"/>
          <w:sz w:val="22"/>
          <w:szCs w:val="22"/>
        </w:rPr>
        <w:t xml:space="preserve"> columns using </w:t>
      </w:r>
      <w:r w:rsidR="007B26F7" w:rsidRPr="00CA7D74">
        <w:rPr>
          <w:rFonts w:asciiTheme="minorHAnsi" w:hAnsiTheme="minorHAnsi" w:cstheme="minorHAnsi"/>
          <w:sz w:val="22"/>
          <w:szCs w:val="22"/>
        </w:rPr>
        <w:t>cards.</w:t>
      </w:r>
    </w:p>
    <w:p w14:paraId="63380FC4" w14:textId="079CF70F" w:rsidR="007B26F7" w:rsidRPr="00CA7D74" w:rsidRDefault="007B26F7" w:rsidP="0014594B">
      <w:pPr>
        <w:pStyle w:val="NormalWeb"/>
        <w:numPr>
          <w:ilvl w:val="0"/>
          <w:numId w:val="1"/>
        </w:numPr>
        <w:rPr>
          <w:rFonts w:asciiTheme="minorHAnsi" w:hAnsiTheme="minorHAnsi" w:cstheme="minorHAnsi"/>
          <w:sz w:val="22"/>
          <w:szCs w:val="22"/>
        </w:rPr>
      </w:pPr>
      <w:r w:rsidRPr="00CA7D74">
        <w:rPr>
          <w:rFonts w:asciiTheme="minorHAnsi" w:hAnsiTheme="minorHAnsi" w:cstheme="minorHAnsi"/>
          <w:sz w:val="22"/>
          <w:szCs w:val="22"/>
        </w:rPr>
        <w:t>I</w:t>
      </w:r>
      <w:r w:rsidRPr="00CA7D74">
        <w:rPr>
          <w:rFonts w:asciiTheme="minorHAnsi" w:hAnsiTheme="minorHAnsi" w:cstheme="minorHAnsi"/>
          <w:sz w:val="22"/>
          <w:szCs w:val="22"/>
        </w:rPr>
        <w:t xml:space="preserve"> compar</w:t>
      </w:r>
      <w:r w:rsidRPr="00CA7D74">
        <w:rPr>
          <w:rFonts w:asciiTheme="minorHAnsi" w:hAnsiTheme="minorHAnsi" w:cstheme="minorHAnsi"/>
          <w:sz w:val="22"/>
          <w:szCs w:val="22"/>
        </w:rPr>
        <w:t>ed</w:t>
      </w:r>
      <w:r w:rsidRPr="00CA7D74">
        <w:rPr>
          <w:rFonts w:asciiTheme="minorHAnsi" w:hAnsiTheme="minorHAnsi" w:cstheme="minorHAnsi"/>
          <w:sz w:val="22"/>
          <w:szCs w:val="22"/>
        </w:rPr>
        <w:t xml:space="preserve"> categorical columns analyzing relationships between date columns and other variables using area charts</w:t>
      </w:r>
      <w:r w:rsidRPr="00CA7D74">
        <w:rPr>
          <w:rFonts w:asciiTheme="minorHAnsi" w:hAnsiTheme="minorHAnsi" w:cstheme="minorHAnsi"/>
          <w:sz w:val="22"/>
          <w:szCs w:val="22"/>
        </w:rPr>
        <w:t>.</w:t>
      </w:r>
    </w:p>
    <w:p w14:paraId="7786B9D5" w14:textId="47196AE3" w:rsidR="00291816" w:rsidRPr="00CA7D74" w:rsidRDefault="007B26F7" w:rsidP="00291816">
      <w:pPr>
        <w:pStyle w:val="NormalWeb"/>
        <w:numPr>
          <w:ilvl w:val="0"/>
          <w:numId w:val="1"/>
        </w:numPr>
        <w:rPr>
          <w:rFonts w:asciiTheme="minorHAnsi" w:hAnsiTheme="minorHAnsi" w:cstheme="minorHAnsi"/>
          <w:sz w:val="22"/>
          <w:szCs w:val="22"/>
        </w:rPr>
      </w:pPr>
      <w:r w:rsidRPr="00CA7D74">
        <w:rPr>
          <w:rFonts w:asciiTheme="minorHAnsi" w:hAnsiTheme="minorHAnsi" w:cstheme="minorHAnsi"/>
          <w:sz w:val="22"/>
          <w:szCs w:val="22"/>
        </w:rPr>
        <w:t>I u</w:t>
      </w:r>
      <w:r w:rsidRPr="00CA7D74">
        <w:rPr>
          <w:rFonts w:asciiTheme="minorHAnsi" w:hAnsiTheme="minorHAnsi" w:cstheme="minorHAnsi"/>
          <w:sz w:val="22"/>
          <w:szCs w:val="22"/>
        </w:rPr>
        <w:t>se</w:t>
      </w:r>
      <w:r w:rsidRPr="00CA7D74">
        <w:rPr>
          <w:rFonts w:asciiTheme="minorHAnsi" w:hAnsiTheme="minorHAnsi" w:cstheme="minorHAnsi"/>
          <w:sz w:val="22"/>
          <w:szCs w:val="22"/>
        </w:rPr>
        <w:t>d</w:t>
      </w:r>
      <w:r w:rsidRPr="00CA7D74">
        <w:rPr>
          <w:rFonts w:asciiTheme="minorHAnsi" w:hAnsiTheme="minorHAnsi" w:cstheme="minorHAnsi"/>
          <w:sz w:val="22"/>
          <w:szCs w:val="22"/>
        </w:rPr>
        <w:t xml:space="preserve"> </w:t>
      </w:r>
      <w:r w:rsidR="00D13DAF" w:rsidRPr="00CA7D74">
        <w:rPr>
          <w:rFonts w:asciiTheme="minorHAnsi" w:hAnsiTheme="minorHAnsi" w:cstheme="minorHAnsi"/>
          <w:sz w:val="22"/>
          <w:szCs w:val="22"/>
        </w:rPr>
        <w:t xml:space="preserve">a </w:t>
      </w:r>
      <w:r w:rsidRPr="00CA7D74">
        <w:rPr>
          <w:rFonts w:asciiTheme="minorHAnsi" w:hAnsiTheme="minorHAnsi" w:cstheme="minorHAnsi"/>
          <w:sz w:val="22"/>
          <w:szCs w:val="22"/>
        </w:rPr>
        <w:t xml:space="preserve">decomposition </w:t>
      </w:r>
      <w:r w:rsidRPr="00CA7D74">
        <w:rPr>
          <w:rFonts w:asciiTheme="minorHAnsi" w:hAnsiTheme="minorHAnsi" w:cstheme="minorHAnsi"/>
          <w:sz w:val="22"/>
          <w:szCs w:val="22"/>
        </w:rPr>
        <w:t xml:space="preserve">tree to visualize hierarchical relationships between categorical columns like </w:t>
      </w:r>
      <w:r w:rsidRPr="00CA7D74">
        <w:rPr>
          <w:rFonts w:asciiTheme="minorHAnsi" w:hAnsiTheme="minorHAnsi" w:cstheme="minorHAnsi"/>
          <w:sz w:val="22"/>
          <w:szCs w:val="22"/>
        </w:rPr>
        <w:t>“</w:t>
      </w:r>
      <w:r w:rsidRPr="00CA7D74">
        <w:rPr>
          <w:rFonts w:asciiTheme="minorHAnsi" w:hAnsiTheme="minorHAnsi" w:cstheme="minorHAnsi"/>
          <w:sz w:val="22"/>
          <w:szCs w:val="22"/>
        </w:rPr>
        <w:t>Primary Category</w:t>
      </w:r>
      <w:r w:rsidRPr="00CA7D74">
        <w:rPr>
          <w:rFonts w:asciiTheme="minorHAnsi" w:hAnsiTheme="minorHAnsi" w:cstheme="minorHAnsi"/>
          <w:sz w:val="22"/>
          <w:szCs w:val="22"/>
        </w:rPr>
        <w:t>”</w:t>
      </w:r>
      <w:r w:rsidR="00297D3A" w:rsidRPr="00CA7D74">
        <w:rPr>
          <w:rFonts w:asciiTheme="minorHAnsi" w:hAnsiTheme="minorHAnsi" w:cstheme="minorHAnsi"/>
          <w:sz w:val="22"/>
          <w:szCs w:val="22"/>
        </w:rPr>
        <w:t>,</w:t>
      </w:r>
      <w:r w:rsidRPr="00CA7D74">
        <w:rPr>
          <w:rFonts w:asciiTheme="minorHAnsi" w:hAnsiTheme="minorHAnsi" w:cstheme="minorHAnsi"/>
          <w:sz w:val="22"/>
          <w:szCs w:val="22"/>
        </w:rPr>
        <w:t xml:space="preserve"> </w:t>
      </w:r>
      <w:r w:rsidRPr="00CA7D74">
        <w:rPr>
          <w:rFonts w:asciiTheme="minorHAnsi" w:hAnsiTheme="minorHAnsi" w:cstheme="minorHAnsi"/>
          <w:sz w:val="22"/>
          <w:szCs w:val="22"/>
        </w:rPr>
        <w:t>“</w:t>
      </w:r>
      <w:r w:rsidRPr="00CA7D74">
        <w:rPr>
          <w:rFonts w:asciiTheme="minorHAnsi" w:hAnsiTheme="minorHAnsi" w:cstheme="minorHAnsi"/>
          <w:sz w:val="22"/>
          <w:szCs w:val="22"/>
        </w:rPr>
        <w:t>Sub-Category</w:t>
      </w:r>
      <w:r w:rsidRPr="00CA7D74">
        <w:rPr>
          <w:rFonts w:asciiTheme="minorHAnsi" w:hAnsiTheme="minorHAnsi" w:cstheme="minorHAnsi"/>
          <w:sz w:val="22"/>
          <w:szCs w:val="22"/>
        </w:rPr>
        <w:t>”</w:t>
      </w:r>
      <w:r w:rsidR="00297D3A" w:rsidRPr="00CA7D74">
        <w:rPr>
          <w:rFonts w:asciiTheme="minorHAnsi" w:hAnsiTheme="minorHAnsi" w:cstheme="minorHAnsi"/>
          <w:sz w:val="22"/>
          <w:szCs w:val="22"/>
        </w:rPr>
        <w:t xml:space="preserve">, “Product Name”, “Chemical </w:t>
      </w:r>
      <w:r w:rsidR="001A4E36" w:rsidRPr="00CA7D74">
        <w:rPr>
          <w:rFonts w:asciiTheme="minorHAnsi" w:hAnsiTheme="minorHAnsi" w:cstheme="minorHAnsi"/>
          <w:sz w:val="22"/>
          <w:szCs w:val="22"/>
        </w:rPr>
        <w:t>C</w:t>
      </w:r>
      <w:r w:rsidR="00297D3A" w:rsidRPr="00CA7D74">
        <w:rPr>
          <w:rFonts w:asciiTheme="minorHAnsi" w:hAnsiTheme="minorHAnsi" w:cstheme="minorHAnsi"/>
          <w:sz w:val="22"/>
          <w:szCs w:val="22"/>
        </w:rPr>
        <w:t>ount”,</w:t>
      </w:r>
      <w:r w:rsidR="001A4E36" w:rsidRPr="00CA7D74">
        <w:rPr>
          <w:rFonts w:asciiTheme="minorHAnsi" w:hAnsiTheme="minorHAnsi" w:cstheme="minorHAnsi"/>
          <w:sz w:val="22"/>
          <w:szCs w:val="22"/>
        </w:rPr>
        <w:t xml:space="preserve"> and “Company Name”</w:t>
      </w:r>
      <w:r w:rsidRPr="00CA7D74">
        <w:rPr>
          <w:rFonts w:asciiTheme="minorHAnsi" w:hAnsiTheme="minorHAnsi" w:cstheme="minorHAnsi"/>
          <w:sz w:val="22"/>
          <w:szCs w:val="22"/>
        </w:rPr>
        <w:t>.</w:t>
      </w:r>
      <w:r w:rsidR="00297D3A" w:rsidRPr="00CA7D74">
        <w:rPr>
          <w:rFonts w:asciiTheme="minorHAnsi" w:hAnsiTheme="minorHAnsi" w:cstheme="minorHAnsi"/>
          <w:sz w:val="22"/>
          <w:szCs w:val="22"/>
        </w:rPr>
        <w:t xml:space="preserve"> </w:t>
      </w:r>
    </w:p>
    <w:p w14:paraId="28B261BF" w14:textId="53CA7708" w:rsidR="001A4E36" w:rsidRDefault="001A4E36" w:rsidP="00291816">
      <w:pPr>
        <w:pStyle w:val="NormalWeb"/>
        <w:numPr>
          <w:ilvl w:val="0"/>
          <w:numId w:val="1"/>
        </w:numPr>
        <w:rPr>
          <w:rFonts w:asciiTheme="minorHAnsi" w:hAnsiTheme="minorHAnsi" w:cstheme="minorHAnsi"/>
          <w:sz w:val="22"/>
          <w:szCs w:val="22"/>
        </w:rPr>
      </w:pPr>
      <w:r w:rsidRPr="00CA7D74">
        <w:rPr>
          <w:rFonts w:asciiTheme="minorHAnsi" w:hAnsiTheme="minorHAnsi" w:cstheme="minorHAnsi"/>
          <w:sz w:val="22"/>
          <w:szCs w:val="22"/>
        </w:rPr>
        <w:t>I c</w:t>
      </w:r>
      <w:r w:rsidRPr="00CA7D74">
        <w:rPr>
          <w:rFonts w:asciiTheme="minorHAnsi" w:hAnsiTheme="minorHAnsi" w:cstheme="minorHAnsi"/>
          <w:sz w:val="22"/>
          <w:szCs w:val="22"/>
        </w:rPr>
        <w:t>reate</w:t>
      </w:r>
      <w:r w:rsidRPr="00CA7D74">
        <w:rPr>
          <w:rFonts w:asciiTheme="minorHAnsi" w:hAnsiTheme="minorHAnsi" w:cstheme="minorHAnsi"/>
          <w:sz w:val="22"/>
          <w:szCs w:val="22"/>
        </w:rPr>
        <w:t>d</w:t>
      </w:r>
      <w:r w:rsidRPr="00CA7D74">
        <w:rPr>
          <w:rFonts w:asciiTheme="minorHAnsi" w:hAnsiTheme="minorHAnsi" w:cstheme="minorHAnsi"/>
          <w:sz w:val="22"/>
          <w:szCs w:val="22"/>
        </w:rPr>
        <w:t xml:space="preserve"> time series visualizations like line charts or area charts to analyze trends over time for columns like </w:t>
      </w:r>
      <w:r w:rsidRPr="00CA7D74">
        <w:rPr>
          <w:rFonts w:asciiTheme="minorHAnsi" w:hAnsiTheme="minorHAnsi" w:cstheme="minorHAnsi"/>
          <w:sz w:val="22"/>
          <w:szCs w:val="22"/>
        </w:rPr>
        <w:t>“</w:t>
      </w:r>
      <w:r w:rsidRPr="00CA7D74">
        <w:rPr>
          <w:rFonts w:asciiTheme="minorHAnsi" w:hAnsiTheme="minorHAnsi" w:cstheme="minorHAnsi"/>
          <w:sz w:val="22"/>
          <w:szCs w:val="22"/>
        </w:rPr>
        <w:t>Initial Date Reported”, “Most Recent Date Reported”, “Chemical Created Date”, “Chemical Updated Date”, and “Chemical Date Removed”.</w:t>
      </w:r>
    </w:p>
    <w:p w14:paraId="2D2EE173" w14:textId="77777777" w:rsidR="000F28E9" w:rsidRDefault="000F28E9" w:rsidP="000F28E9">
      <w:pPr>
        <w:pStyle w:val="NormalWeb"/>
        <w:numPr>
          <w:ilvl w:val="0"/>
          <w:numId w:val="1"/>
        </w:numPr>
      </w:pPr>
      <w:r>
        <w:t>In the analysis report, tables were constructed to gain insights into the most frequently reported chemicals, products, and companies. These tables serve as a valuable tool for identifying trends and patterns in the reported data.</w:t>
      </w:r>
    </w:p>
    <w:p w14:paraId="194542A7" w14:textId="77777777" w:rsidR="000F28E9" w:rsidRDefault="000F28E9" w:rsidP="000F28E9">
      <w:pPr>
        <w:pStyle w:val="NormalWeb"/>
        <w:ind w:left="720"/>
        <w:rPr>
          <w:rFonts w:asciiTheme="minorHAnsi" w:hAnsiTheme="minorHAnsi" w:cstheme="minorHAnsi"/>
          <w:sz w:val="22"/>
          <w:szCs w:val="22"/>
        </w:rPr>
      </w:pPr>
    </w:p>
    <w:p w14:paraId="3EFBA043" w14:textId="47116EB8" w:rsidR="00B86E4B" w:rsidRDefault="00B86E4B" w:rsidP="00B86E4B">
      <w:pPr>
        <w:rPr>
          <w:b/>
          <w:bCs/>
          <w:i/>
          <w:iCs/>
          <w:sz w:val="32"/>
          <w:szCs w:val="32"/>
        </w:rPr>
      </w:pPr>
      <w:r>
        <w:rPr>
          <w:b/>
          <w:bCs/>
          <w:i/>
          <w:iCs/>
          <w:sz w:val="32"/>
          <w:szCs w:val="32"/>
        </w:rPr>
        <w:t>Results</w:t>
      </w:r>
    </w:p>
    <w:p w14:paraId="5D23A3FC" w14:textId="1F25CA16" w:rsidR="00A74762" w:rsidRPr="00CA7D74" w:rsidRDefault="00A74762" w:rsidP="00A74762">
      <w:pPr>
        <w:pStyle w:val="NormalWeb"/>
        <w:numPr>
          <w:ilvl w:val="0"/>
          <w:numId w:val="1"/>
        </w:numPr>
        <w:rPr>
          <w:rFonts w:asciiTheme="minorHAnsi" w:hAnsiTheme="minorHAnsi" w:cstheme="minorHAnsi"/>
          <w:sz w:val="22"/>
          <w:szCs w:val="22"/>
        </w:rPr>
      </w:pPr>
      <w:r w:rsidRPr="00CA7D74">
        <w:rPr>
          <w:rFonts w:asciiTheme="minorHAnsi" w:hAnsiTheme="minorHAnsi" w:cstheme="minorHAnsi"/>
          <w:sz w:val="22"/>
          <w:szCs w:val="22"/>
        </w:rPr>
        <w:t xml:space="preserve">This analysis, spanning from 2009 to 2020, encompasses 114.64K chemical reports. These chemicals were identified across 13 distinct product categories. It was found that 635 companies utilized 58.08K chemicals </w:t>
      </w:r>
      <w:r w:rsidR="000F28E9">
        <w:rPr>
          <w:rFonts w:asciiTheme="minorHAnsi" w:hAnsiTheme="minorHAnsi" w:cstheme="minorHAnsi"/>
          <w:sz w:val="22"/>
          <w:szCs w:val="22"/>
        </w:rPr>
        <w:t>to produce</w:t>
      </w:r>
      <w:r w:rsidRPr="00CA7D74">
        <w:rPr>
          <w:rFonts w:asciiTheme="minorHAnsi" w:hAnsiTheme="minorHAnsi" w:cstheme="minorHAnsi"/>
          <w:sz w:val="22"/>
          <w:szCs w:val="22"/>
        </w:rPr>
        <w:t xml:space="preserve"> approximately 33.45K products. Notably, the use of 8.85K chemicals was discontinued during this period.</w:t>
      </w:r>
    </w:p>
    <w:p w14:paraId="78922210" w14:textId="77777777" w:rsidR="00863DB3" w:rsidRPr="00CA7D74" w:rsidRDefault="00863DB3" w:rsidP="00863DB3">
      <w:pPr>
        <w:pStyle w:val="NormalWeb"/>
        <w:numPr>
          <w:ilvl w:val="0"/>
          <w:numId w:val="1"/>
        </w:numPr>
        <w:rPr>
          <w:rFonts w:asciiTheme="minorHAnsi" w:hAnsiTheme="minorHAnsi" w:cstheme="minorHAnsi"/>
          <w:sz w:val="22"/>
          <w:szCs w:val="22"/>
        </w:rPr>
      </w:pPr>
      <w:r w:rsidRPr="00CA7D74">
        <w:rPr>
          <w:rFonts w:asciiTheme="minorHAnsi" w:hAnsiTheme="minorHAnsi" w:cstheme="minorHAnsi"/>
          <w:sz w:val="22"/>
          <w:szCs w:val="22"/>
        </w:rPr>
        <w:t>In this analytical report, it was observed that Titanium dioxide was the most frequently reported chemical. Specifically, it accounted for 93.48K reports, which constituted 81.55% of all chemical reports.</w:t>
      </w:r>
    </w:p>
    <w:p w14:paraId="63648126" w14:textId="77777777" w:rsidR="002F4C3C" w:rsidRPr="00CA7D74" w:rsidRDefault="002F4C3C" w:rsidP="002F4C3C">
      <w:pPr>
        <w:pStyle w:val="NormalWeb"/>
        <w:numPr>
          <w:ilvl w:val="0"/>
          <w:numId w:val="1"/>
        </w:numPr>
        <w:rPr>
          <w:rFonts w:asciiTheme="minorHAnsi" w:hAnsiTheme="minorHAnsi" w:cstheme="minorHAnsi"/>
          <w:sz w:val="22"/>
          <w:szCs w:val="22"/>
        </w:rPr>
      </w:pPr>
      <w:r w:rsidRPr="00CA7D74">
        <w:rPr>
          <w:rFonts w:asciiTheme="minorHAnsi" w:hAnsiTheme="minorHAnsi" w:cstheme="minorHAnsi"/>
          <w:sz w:val="22"/>
          <w:szCs w:val="22"/>
        </w:rPr>
        <w:t>The analysis report encompasses a total of 33.45K products, which are systematically classified into 13 main categories and further subdivided into 89 sub-categories. Upon examination, it is observed that the products with the highest number of reports include Eyecolor (766 reports), Nail lacquer (540 reports), NYX GIRLS NAIL POLISH (462 reports), Eye shadow (361 reports), and Lipstick (353 reports).</w:t>
      </w:r>
    </w:p>
    <w:p w14:paraId="682E87DD" w14:textId="77777777" w:rsidR="00465463" w:rsidRPr="00CA7D74" w:rsidRDefault="00465463" w:rsidP="00465463">
      <w:pPr>
        <w:pStyle w:val="NormalWeb"/>
        <w:numPr>
          <w:ilvl w:val="0"/>
          <w:numId w:val="1"/>
        </w:numPr>
        <w:rPr>
          <w:rFonts w:asciiTheme="minorHAnsi" w:hAnsiTheme="minorHAnsi" w:cstheme="minorHAnsi"/>
          <w:sz w:val="22"/>
          <w:szCs w:val="22"/>
        </w:rPr>
      </w:pPr>
      <w:r w:rsidRPr="00CA7D74">
        <w:rPr>
          <w:rFonts w:asciiTheme="minorHAnsi" w:hAnsiTheme="minorHAnsi" w:cstheme="minorHAnsi"/>
          <w:sz w:val="22"/>
          <w:szCs w:val="22"/>
        </w:rPr>
        <w:t xml:space="preserve">In the analysis conducted, a total of 635 companies were examined. Among these, the companies with the highest number of chemical reports were L’Oreal USA with 5,747 reports, S+ with 5,165 reports, Coty with 5,162 reports, Revlon Consumer Product Corporation with 4,341 </w:t>
      </w:r>
      <w:r w:rsidRPr="00CA7D74">
        <w:rPr>
          <w:rFonts w:asciiTheme="minorHAnsi" w:hAnsiTheme="minorHAnsi" w:cstheme="minorHAnsi"/>
          <w:sz w:val="22"/>
          <w:szCs w:val="22"/>
        </w:rPr>
        <w:lastRenderedPageBreak/>
        <w:t xml:space="preserve">reports, and Bare </w:t>
      </w:r>
      <w:proofErr w:type="spellStart"/>
      <w:r w:rsidRPr="00CA7D74">
        <w:rPr>
          <w:rFonts w:asciiTheme="minorHAnsi" w:hAnsiTheme="minorHAnsi" w:cstheme="minorHAnsi"/>
          <w:sz w:val="22"/>
          <w:szCs w:val="22"/>
        </w:rPr>
        <w:t>Escentuals</w:t>
      </w:r>
      <w:proofErr w:type="spellEnd"/>
      <w:r w:rsidRPr="00CA7D74">
        <w:rPr>
          <w:rFonts w:asciiTheme="minorHAnsi" w:hAnsiTheme="minorHAnsi" w:cstheme="minorHAnsi"/>
          <w:sz w:val="22"/>
          <w:szCs w:val="22"/>
        </w:rPr>
        <w:t xml:space="preserve"> Beauty Inc with 3,828 reports. These companies stood out as the most reported within the analysis.</w:t>
      </w:r>
    </w:p>
    <w:p w14:paraId="607C1F6B" w14:textId="77777777" w:rsidR="00465463" w:rsidRPr="00CA7D74" w:rsidRDefault="00465463" w:rsidP="00465463">
      <w:pPr>
        <w:pStyle w:val="NormalWeb"/>
        <w:numPr>
          <w:ilvl w:val="0"/>
          <w:numId w:val="1"/>
        </w:numPr>
        <w:rPr>
          <w:rFonts w:asciiTheme="minorHAnsi" w:hAnsiTheme="minorHAnsi" w:cstheme="minorHAnsi"/>
          <w:sz w:val="22"/>
          <w:szCs w:val="22"/>
        </w:rPr>
      </w:pPr>
      <w:r w:rsidRPr="00CA7D74">
        <w:rPr>
          <w:rFonts w:asciiTheme="minorHAnsi" w:hAnsiTheme="minorHAnsi" w:cstheme="minorHAnsi"/>
          <w:sz w:val="22"/>
          <w:szCs w:val="22"/>
        </w:rPr>
        <w:t>In the conducted analysis, the companies with the highest number of reported products were identified. American International Industries topped the list with 1,675 products, followed by Nail Alliance – Entity with 1,414 products. Revlon Consumer Product Corporation reported 1,362 products, AMOREPACIFIC US INC. had 1,045 products, and L’Oreal USA reported 933 products. These companies were the major contributors in terms of product reporting.</w:t>
      </w:r>
    </w:p>
    <w:p w14:paraId="31C79FA9" w14:textId="5E2AFAF2" w:rsidR="00573DD1" w:rsidRPr="00CA7D74" w:rsidRDefault="00CA7D74" w:rsidP="00CA7D74">
      <w:pPr>
        <w:pStyle w:val="NormalWeb"/>
        <w:numPr>
          <w:ilvl w:val="0"/>
          <w:numId w:val="1"/>
        </w:numPr>
        <w:rPr>
          <w:rFonts w:asciiTheme="minorHAnsi" w:hAnsiTheme="minorHAnsi" w:cstheme="minorHAnsi"/>
          <w:sz w:val="22"/>
          <w:szCs w:val="22"/>
        </w:rPr>
      </w:pPr>
      <w:r w:rsidRPr="00CA7D74">
        <w:rPr>
          <w:rFonts w:asciiTheme="minorHAnsi" w:hAnsiTheme="minorHAnsi" w:cstheme="minorHAnsi"/>
          <w:sz w:val="22"/>
          <w:szCs w:val="22"/>
        </w:rPr>
        <w:t>The analysis report indicates that The Procter &amp; Gamble Company leads the list of companies with the most discontinued chemicals, accounting for 2.7K. This is followed by Victoria’s Secret Beauty with 787, MAESA LLC with 589, Buth-</w:t>
      </w:r>
      <w:proofErr w:type="spellStart"/>
      <w:r w:rsidRPr="00CA7D74">
        <w:rPr>
          <w:rFonts w:asciiTheme="minorHAnsi" w:hAnsiTheme="minorHAnsi" w:cstheme="minorHAnsi"/>
          <w:sz w:val="22"/>
          <w:szCs w:val="22"/>
        </w:rPr>
        <w:t>na</w:t>
      </w:r>
      <w:proofErr w:type="spellEnd"/>
      <w:r w:rsidRPr="00CA7D74">
        <w:rPr>
          <w:rFonts w:asciiTheme="minorHAnsi" w:hAnsiTheme="minorHAnsi" w:cstheme="minorHAnsi"/>
          <w:sz w:val="22"/>
          <w:szCs w:val="22"/>
        </w:rPr>
        <w:t>-</w:t>
      </w:r>
      <w:proofErr w:type="spellStart"/>
      <w:r w:rsidRPr="00CA7D74">
        <w:rPr>
          <w:rFonts w:asciiTheme="minorHAnsi" w:hAnsiTheme="minorHAnsi" w:cstheme="minorHAnsi"/>
          <w:sz w:val="22"/>
          <w:szCs w:val="22"/>
        </w:rPr>
        <w:t>Bodhaige</w:t>
      </w:r>
      <w:proofErr w:type="spellEnd"/>
      <w:r w:rsidRPr="00CA7D74">
        <w:rPr>
          <w:rFonts w:asciiTheme="minorHAnsi" w:hAnsiTheme="minorHAnsi" w:cstheme="minorHAnsi"/>
          <w:sz w:val="22"/>
          <w:szCs w:val="22"/>
        </w:rPr>
        <w:t xml:space="preserve"> </w:t>
      </w:r>
      <w:r w:rsidR="000F28E9">
        <w:rPr>
          <w:rFonts w:asciiTheme="minorHAnsi" w:hAnsiTheme="minorHAnsi" w:cstheme="minorHAnsi"/>
          <w:sz w:val="22"/>
          <w:szCs w:val="22"/>
        </w:rPr>
        <w:t>Inc.</w:t>
      </w:r>
      <w:r w:rsidRPr="00CA7D74">
        <w:rPr>
          <w:rFonts w:asciiTheme="minorHAnsi" w:hAnsiTheme="minorHAnsi" w:cstheme="minorHAnsi"/>
          <w:sz w:val="22"/>
          <w:szCs w:val="22"/>
        </w:rPr>
        <w:t xml:space="preserve"> with 468, and The Boots Company Plc with 337 discontinued chemicals. These companies represent the highest </w:t>
      </w:r>
      <w:r w:rsidR="000F28E9">
        <w:rPr>
          <w:rFonts w:asciiTheme="minorHAnsi" w:hAnsiTheme="minorHAnsi" w:cstheme="minorHAnsi"/>
          <w:sz w:val="22"/>
          <w:szCs w:val="22"/>
        </w:rPr>
        <w:t>number</w:t>
      </w:r>
      <w:r w:rsidRPr="00CA7D74">
        <w:rPr>
          <w:rFonts w:asciiTheme="minorHAnsi" w:hAnsiTheme="minorHAnsi" w:cstheme="minorHAnsi"/>
          <w:sz w:val="22"/>
          <w:szCs w:val="22"/>
        </w:rPr>
        <w:t xml:space="preserve"> of discontinued chemicals in the industry.</w:t>
      </w:r>
    </w:p>
    <w:p w14:paraId="659E2CAE" w14:textId="77777777" w:rsidR="00A43E07" w:rsidRPr="00CA7D74" w:rsidRDefault="00A43E07" w:rsidP="00A43E07">
      <w:pPr>
        <w:pStyle w:val="NormalWeb"/>
        <w:numPr>
          <w:ilvl w:val="0"/>
          <w:numId w:val="1"/>
        </w:numPr>
        <w:rPr>
          <w:rFonts w:asciiTheme="minorHAnsi" w:hAnsiTheme="minorHAnsi" w:cstheme="minorHAnsi"/>
          <w:sz w:val="22"/>
          <w:szCs w:val="22"/>
        </w:rPr>
      </w:pPr>
      <w:r w:rsidRPr="00CA7D74">
        <w:rPr>
          <w:rFonts w:asciiTheme="minorHAnsi" w:hAnsiTheme="minorHAnsi" w:cstheme="minorHAnsi"/>
          <w:sz w:val="22"/>
          <w:szCs w:val="22"/>
        </w:rPr>
        <w:t>The analysis of chemical reporting trends from 2009 to 2020 reveals significant fluctuations. The highest number of reports was in 2009 with 30.68k, followed by a sharp decline to 14.78k in 2010 and continued to decrease until 2012. A resurgence was observed from 2013 to 2019, peaking at 13.88k reports in 2019. However, 2020 saw a drastic drop to 2.58k reports. This data indicates a general downward trend in chemical reporting over the examined period.</w:t>
      </w:r>
    </w:p>
    <w:p w14:paraId="18A44313" w14:textId="232401A1" w:rsidR="00B5719E" w:rsidRPr="00CA7D74" w:rsidRDefault="00B5719E" w:rsidP="00B5719E">
      <w:pPr>
        <w:pStyle w:val="NormalWeb"/>
        <w:numPr>
          <w:ilvl w:val="0"/>
          <w:numId w:val="1"/>
        </w:numPr>
        <w:rPr>
          <w:rFonts w:asciiTheme="minorHAnsi" w:hAnsiTheme="minorHAnsi" w:cstheme="minorHAnsi"/>
          <w:sz w:val="22"/>
          <w:szCs w:val="22"/>
        </w:rPr>
      </w:pPr>
      <w:r w:rsidRPr="00CA7D74">
        <w:rPr>
          <w:rFonts w:asciiTheme="minorHAnsi" w:hAnsiTheme="minorHAnsi" w:cstheme="minorHAnsi"/>
          <w:sz w:val="22"/>
          <w:szCs w:val="22"/>
        </w:rPr>
        <w:t xml:space="preserve">From 2009 to 2020, titanium dioxide consistently topped the annual chemical analysis reports. In 2009, it had 25,308 reports, followed by butylated </w:t>
      </w:r>
      <w:proofErr w:type="spellStart"/>
      <w:r w:rsidRPr="00CA7D74">
        <w:rPr>
          <w:rFonts w:asciiTheme="minorHAnsi" w:hAnsiTheme="minorHAnsi" w:cstheme="minorHAnsi"/>
          <w:sz w:val="22"/>
          <w:szCs w:val="22"/>
        </w:rPr>
        <w:t>hydroxyanisole</w:t>
      </w:r>
      <w:proofErr w:type="spellEnd"/>
      <w:r w:rsidRPr="00CA7D74">
        <w:rPr>
          <w:rFonts w:asciiTheme="minorHAnsi" w:hAnsiTheme="minorHAnsi" w:cstheme="minorHAnsi"/>
          <w:sz w:val="22"/>
          <w:szCs w:val="22"/>
        </w:rPr>
        <w:t xml:space="preserve"> (1562) and retinol (939). In 2010, retinol (782) and cocamide diethanolamine (539) trailed titanium dioxide (12,133). In 2011, retinol (400) and retinyl palmitate (110) followed titanium dioxide (3671). Triethanolamine (151) and vitamin A palmitate (65) were next in 2012. In 2013, vitamin A palmitate (454) and retinyl palmitate (299) followed titanium dioxide (4749). Carbon black and mica emerged in 2014 and 2015, while benzophenone appeared in 2016. Silica became prominent </w:t>
      </w:r>
      <w:r w:rsidR="00E72DC9" w:rsidRPr="00CA7D74">
        <w:rPr>
          <w:rFonts w:asciiTheme="minorHAnsi" w:hAnsiTheme="minorHAnsi" w:cstheme="minorHAnsi"/>
          <w:sz w:val="22"/>
          <w:szCs w:val="22"/>
        </w:rPr>
        <w:t>in</w:t>
      </w:r>
      <w:r w:rsidRPr="00CA7D74">
        <w:rPr>
          <w:rFonts w:asciiTheme="minorHAnsi" w:hAnsiTheme="minorHAnsi" w:cstheme="minorHAnsi"/>
          <w:sz w:val="22"/>
          <w:szCs w:val="22"/>
        </w:rPr>
        <w:t xml:space="preserve"> 2017, and talc appeared in 2018 and 2020. Despite fluctuations in the other two chemicals, titanium dioxide consistently led each year, although its reports significantly dropped to 1805 in 2020.</w:t>
      </w:r>
    </w:p>
    <w:p w14:paraId="56E645E2" w14:textId="77777777" w:rsidR="00CA7D74" w:rsidRDefault="00CA7D74" w:rsidP="00875C4D">
      <w:pPr>
        <w:rPr>
          <w:b/>
          <w:bCs/>
          <w:i/>
          <w:iCs/>
          <w:sz w:val="32"/>
          <w:szCs w:val="32"/>
        </w:rPr>
      </w:pPr>
    </w:p>
    <w:p w14:paraId="17AD223F" w14:textId="2F61D2F1" w:rsidR="00875C4D" w:rsidRDefault="00875C4D" w:rsidP="00875C4D">
      <w:pPr>
        <w:rPr>
          <w:b/>
          <w:bCs/>
          <w:i/>
          <w:iCs/>
          <w:sz w:val="32"/>
          <w:szCs w:val="32"/>
        </w:rPr>
      </w:pPr>
      <w:r>
        <w:rPr>
          <w:b/>
          <w:bCs/>
          <w:i/>
          <w:iCs/>
          <w:sz w:val="32"/>
          <w:szCs w:val="32"/>
        </w:rPr>
        <w:t>R</w:t>
      </w:r>
      <w:r>
        <w:rPr>
          <w:b/>
          <w:bCs/>
          <w:i/>
          <w:iCs/>
          <w:sz w:val="32"/>
          <w:szCs w:val="32"/>
        </w:rPr>
        <w:t>ecommendations</w:t>
      </w:r>
    </w:p>
    <w:p w14:paraId="662E422A" w14:textId="77777777" w:rsidR="00875C4D" w:rsidRDefault="00875C4D" w:rsidP="00291816"/>
    <w:p w14:paraId="746C5CF6" w14:textId="3F41B448" w:rsidR="000D2273" w:rsidRDefault="000D2273" w:rsidP="00CA7D74">
      <w:pPr>
        <w:pStyle w:val="ListParagraph"/>
        <w:numPr>
          <w:ilvl w:val="0"/>
          <w:numId w:val="1"/>
        </w:numPr>
      </w:pPr>
      <w:r w:rsidRPr="000D2273">
        <w:t>Maintain an up-to-date and complete inventory of all chemicals used in cosmetic products, including their chemical names, CAS numbers, and hazard classifications.</w:t>
      </w:r>
    </w:p>
    <w:p w14:paraId="3640F2FC" w14:textId="4D5C58C5" w:rsidR="00A2346E" w:rsidRDefault="00A2346E" w:rsidP="00CA7D74">
      <w:pPr>
        <w:pStyle w:val="ListParagraph"/>
        <w:numPr>
          <w:ilvl w:val="0"/>
          <w:numId w:val="1"/>
        </w:numPr>
      </w:pPr>
      <w:r w:rsidRPr="00B14725">
        <w:t>Develop a strategy to prioritize the substitution or elimination of high-risk chemicals with safer alternatives, focusing on the most hazardous substances first.</w:t>
      </w:r>
    </w:p>
    <w:p w14:paraId="059F9719" w14:textId="3D8A05B0" w:rsidR="006E2875" w:rsidRDefault="00875C4D" w:rsidP="00CA7D74">
      <w:pPr>
        <w:pStyle w:val="ListParagraph"/>
        <w:numPr>
          <w:ilvl w:val="0"/>
          <w:numId w:val="1"/>
        </w:numPr>
      </w:pPr>
      <w:r w:rsidRPr="00875C4D">
        <w:t>Continuous monitoring and improvement: Implement a system for continuous monitoring and improvement, regularly reviewing and updating the chemical inventory, hazard assessments, and risk management strategies to ensure alignment with the latest scientific evidence and regulatory requirements.</w:t>
      </w:r>
    </w:p>
    <w:p w14:paraId="220B4877" w14:textId="6986777E" w:rsidR="006E2875" w:rsidRDefault="00875C4D" w:rsidP="00CA7D74">
      <w:pPr>
        <w:pStyle w:val="ListParagraph"/>
        <w:numPr>
          <w:ilvl w:val="0"/>
          <w:numId w:val="1"/>
        </w:numPr>
      </w:pPr>
      <w:r w:rsidRPr="00875C4D">
        <w:t>Engage in collaborative efforts with industry partners, research institutions, and regulatory bodies to share best practices, exchange information, and develop industry-wide standards for managing high-risk chemicals.</w:t>
      </w:r>
    </w:p>
    <w:p w14:paraId="016B7CF1" w14:textId="159B903A" w:rsidR="00875C4D" w:rsidRDefault="00875C4D" w:rsidP="00CA7D74">
      <w:pPr>
        <w:pStyle w:val="ListParagraph"/>
        <w:numPr>
          <w:ilvl w:val="0"/>
          <w:numId w:val="1"/>
        </w:numPr>
      </w:pPr>
      <w:r w:rsidRPr="00875C4D">
        <w:lastRenderedPageBreak/>
        <w:t>Allocate resources for research and development aimed at finding safer and more sustainable alternatives to high-risk chemicals, as well as innovative product formulations and manufacturing processes</w:t>
      </w:r>
    </w:p>
    <w:p w14:paraId="57E17CCB" w14:textId="79546850" w:rsidR="00875C4D" w:rsidRDefault="00875C4D" w:rsidP="00CA7D74">
      <w:pPr>
        <w:pStyle w:val="ListParagraph"/>
        <w:numPr>
          <w:ilvl w:val="0"/>
          <w:numId w:val="1"/>
        </w:numPr>
      </w:pPr>
      <w:r w:rsidRPr="00875C4D">
        <w:t>Increase transparency and open communication with stakeholders, including regulatory authorities, industry associations, and consumer groups, regarding the presence and management of high-risk chemicals in cosmetic products.</w:t>
      </w:r>
    </w:p>
    <w:p w14:paraId="3C23760B" w14:textId="0EC5E3FD" w:rsidR="000D2273" w:rsidRDefault="000D2273" w:rsidP="00CA7D74">
      <w:pPr>
        <w:pStyle w:val="ListParagraph"/>
        <w:numPr>
          <w:ilvl w:val="0"/>
          <w:numId w:val="1"/>
        </w:numPr>
      </w:pPr>
      <w:r w:rsidRPr="000D2273">
        <w:t xml:space="preserve">Improve product labeling to </w:t>
      </w:r>
      <w:r>
        <w:t xml:space="preserve">clearly </w:t>
      </w:r>
      <w:r w:rsidRPr="000D2273">
        <w:t>disclose the presence of high-risk chemicals, their potential hazards, and appropriate handling and disposal instructions.</w:t>
      </w:r>
    </w:p>
    <w:p w14:paraId="0CE8C31B" w14:textId="1BA24C13" w:rsidR="000D2273" w:rsidRDefault="000D2273" w:rsidP="00CA7D74">
      <w:pPr>
        <w:pStyle w:val="ListParagraph"/>
        <w:numPr>
          <w:ilvl w:val="0"/>
          <w:numId w:val="1"/>
        </w:numPr>
      </w:pPr>
      <w:r w:rsidRPr="000D2273">
        <w:t>Develop a strategy to prioritize the substitution or elimination of high-risk chemicals with safer alternatives, focusing on the most hazardous substances first.</w:t>
      </w:r>
    </w:p>
    <w:p w14:paraId="545AA0EC" w14:textId="77777777" w:rsidR="000D2273" w:rsidRDefault="000D2273" w:rsidP="00291816"/>
    <w:p w14:paraId="0AB65343" w14:textId="77777777" w:rsidR="000D2273" w:rsidRDefault="000D2273" w:rsidP="00291816"/>
    <w:p w14:paraId="764C9A38" w14:textId="77777777" w:rsidR="00875C4D" w:rsidRDefault="00875C4D" w:rsidP="00291816"/>
    <w:sectPr w:rsidR="00875C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1E845" w14:textId="77777777" w:rsidR="00930238" w:rsidRDefault="00930238" w:rsidP="00485080">
      <w:pPr>
        <w:spacing w:after="0" w:line="240" w:lineRule="auto"/>
      </w:pPr>
      <w:r>
        <w:separator/>
      </w:r>
    </w:p>
  </w:endnote>
  <w:endnote w:type="continuationSeparator" w:id="0">
    <w:p w14:paraId="1E9BA835" w14:textId="77777777" w:rsidR="00930238" w:rsidRDefault="00930238" w:rsidP="00485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922353"/>
      <w:docPartObj>
        <w:docPartGallery w:val="Page Numbers (Bottom of Page)"/>
        <w:docPartUnique/>
      </w:docPartObj>
    </w:sdtPr>
    <w:sdtEndPr>
      <w:rPr>
        <w:noProof/>
      </w:rPr>
    </w:sdtEndPr>
    <w:sdtContent>
      <w:p w14:paraId="31C87877" w14:textId="21C45E58" w:rsidR="00485080" w:rsidRDefault="00485080" w:rsidP="004850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28A80" w14:textId="77777777" w:rsidR="00930238" w:rsidRDefault="00930238" w:rsidP="00485080">
      <w:pPr>
        <w:spacing w:after="0" w:line="240" w:lineRule="auto"/>
      </w:pPr>
      <w:r>
        <w:separator/>
      </w:r>
    </w:p>
  </w:footnote>
  <w:footnote w:type="continuationSeparator" w:id="0">
    <w:p w14:paraId="35A8C892" w14:textId="77777777" w:rsidR="00930238" w:rsidRDefault="00930238" w:rsidP="00485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E55"/>
    <w:multiLevelType w:val="multilevel"/>
    <w:tmpl w:val="9D6E1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87F52"/>
    <w:multiLevelType w:val="multilevel"/>
    <w:tmpl w:val="96D28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92D97"/>
    <w:multiLevelType w:val="multilevel"/>
    <w:tmpl w:val="4EC2CA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8F66D0"/>
    <w:multiLevelType w:val="multilevel"/>
    <w:tmpl w:val="15C6D5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D4FDE"/>
    <w:multiLevelType w:val="multilevel"/>
    <w:tmpl w:val="9718D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8F0602"/>
    <w:multiLevelType w:val="hybridMultilevel"/>
    <w:tmpl w:val="CA6C4E6C"/>
    <w:lvl w:ilvl="0" w:tplc="5EB492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8C20F5"/>
    <w:multiLevelType w:val="multilevel"/>
    <w:tmpl w:val="26C25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55"/>
    <w:rsid w:val="00016C7C"/>
    <w:rsid w:val="000D2273"/>
    <w:rsid w:val="000F28E9"/>
    <w:rsid w:val="00127FDF"/>
    <w:rsid w:val="001A4E36"/>
    <w:rsid w:val="002204D7"/>
    <w:rsid w:val="00234CB2"/>
    <w:rsid w:val="00243889"/>
    <w:rsid w:val="00245D89"/>
    <w:rsid w:val="002648ED"/>
    <w:rsid w:val="00291816"/>
    <w:rsid w:val="00297D3A"/>
    <w:rsid w:val="002A2281"/>
    <w:rsid w:val="002E75B7"/>
    <w:rsid w:val="002F4C3C"/>
    <w:rsid w:val="00344EC1"/>
    <w:rsid w:val="003D1F26"/>
    <w:rsid w:val="003E513B"/>
    <w:rsid w:val="00420BE5"/>
    <w:rsid w:val="00465463"/>
    <w:rsid w:val="00485080"/>
    <w:rsid w:val="004F216D"/>
    <w:rsid w:val="00573DD1"/>
    <w:rsid w:val="00585BE4"/>
    <w:rsid w:val="00610FEE"/>
    <w:rsid w:val="00612655"/>
    <w:rsid w:val="006E2875"/>
    <w:rsid w:val="00731803"/>
    <w:rsid w:val="007665CF"/>
    <w:rsid w:val="00773109"/>
    <w:rsid w:val="007B26F7"/>
    <w:rsid w:val="007D1BE3"/>
    <w:rsid w:val="00863DB3"/>
    <w:rsid w:val="00875C4D"/>
    <w:rsid w:val="00930238"/>
    <w:rsid w:val="00952B45"/>
    <w:rsid w:val="00976ECE"/>
    <w:rsid w:val="009B74D7"/>
    <w:rsid w:val="009E161C"/>
    <w:rsid w:val="00A2346E"/>
    <w:rsid w:val="00A43E07"/>
    <w:rsid w:val="00A74762"/>
    <w:rsid w:val="00A90B9F"/>
    <w:rsid w:val="00B14725"/>
    <w:rsid w:val="00B5534F"/>
    <w:rsid w:val="00B55D85"/>
    <w:rsid w:val="00B5719E"/>
    <w:rsid w:val="00B86E4B"/>
    <w:rsid w:val="00C42BC0"/>
    <w:rsid w:val="00CA7D74"/>
    <w:rsid w:val="00D13DAF"/>
    <w:rsid w:val="00D15DB9"/>
    <w:rsid w:val="00E72DC9"/>
    <w:rsid w:val="00EC605E"/>
    <w:rsid w:val="00F55485"/>
    <w:rsid w:val="00FA6EDE"/>
    <w:rsid w:val="00FB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7F496"/>
  <w15:chartTrackingRefBased/>
  <w15:docId w15:val="{EEB2385D-F29A-48F4-8458-594369C0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2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90B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65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90B9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10F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D15D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DB9"/>
    <w:rPr>
      <w:b/>
      <w:bCs/>
    </w:rPr>
  </w:style>
  <w:style w:type="paragraph" w:styleId="ListParagraph">
    <w:name w:val="List Paragraph"/>
    <w:basedOn w:val="Normal"/>
    <w:uiPriority w:val="34"/>
    <w:qFormat/>
    <w:rsid w:val="00D15DB9"/>
    <w:pPr>
      <w:ind w:left="720"/>
      <w:contextualSpacing/>
    </w:pPr>
  </w:style>
  <w:style w:type="paragraph" w:styleId="Header">
    <w:name w:val="header"/>
    <w:basedOn w:val="Normal"/>
    <w:link w:val="HeaderChar"/>
    <w:uiPriority w:val="99"/>
    <w:unhideWhenUsed/>
    <w:rsid w:val="00485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080"/>
  </w:style>
  <w:style w:type="paragraph" w:styleId="Footer">
    <w:name w:val="footer"/>
    <w:basedOn w:val="Normal"/>
    <w:link w:val="FooterChar"/>
    <w:uiPriority w:val="99"/>
    <w:unhideWhenUsed/>
    <w:rsid w:val="00485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7978">
      <w:bodyDiv w:val="1"/>
      <w:marLeft w:val="0"/>
      <w:marRight w:val="0"/>
      <w:marTop w:val="0"/>
      <w:marBottom w:val="0"/>
      <w:divBdr>
        <w:top w:val="none" w:sz="0" w:space="0" w:color="auto"/>
        <w:left w:val="none" w:sz="0" w:space="0" w:color="auto"/>
        <w:bottom w:val="none" w:sz="0" w:space="0" w:color="auto"/>
        <w:right w:val="none" w:sz="0" w:space="0" w:color="auto"/>
      </w:divBdr>
    </w:div>
    <w:div w:id="97991976">
      <w:bodyDiv w:val="1"/>
      <w:marLeft w:val="0"/>
      <w:marRight w:val="0"/>
      <w:marTop w:val="0"/>
      <w:marBottom w:val="0"/>
      <w:divBdr>
        <w:top w:val="none" w:sz="0" w:space="0" w:color="auto"/>
        <w:left w:val="none" w:sz="0" w:space="0" w:color="auto"/>
        <w:bottom w:val="none" w:sz="0" w:space="0" w:color="auto"/>
        <w:right w:val="none" w:sz="0" w:space="0" w:color="auto"/>
      </w:divBdr>
      <w:divsChild>
        <w:div w:id="2102946200">
          <w:marLeft w:val="0"/>
          <w:marRight w:val="0"/>
          <w:marTop w:val="0"/>
          <w:marBottom w:val="0"/>
          <w:divBdr>
            <w:top w:val="none" w:sz="0" w:space="0" w:color="auto"/>
            <w:left w:val="none" w:sz="0" w:space="0" w:color="auto"/>
            <w:bottom w:val="none" w:sz="0" w:space="0" w:color="auto"/>
            <w:right w:val="none" w:sz="0" w:space="0" w:color="auto"/>
          </w:divBdr>
          <w:divsChild>
            <w:div w:id="1452243603">
              <w:marLeft w:val="0"/>
              <w:marRight w:val="0"/>
              <w:marTop w:val="0"/>
              <w:marBottom w:val="0"/>
              <w:divBdr>
                <w:top w:val="none" w:sz="0" w:space="0" w:color="auto"/>
                <w:left w:val="none" w:sz="0" w:space="0" w:color="auto"/>
                <w:bottom w:val="none" w:sz="0" w:space="0" w:color="auto"/>
                <w:right w:val="none" w:sz="0" w:space="0" w:color="auto"/>
              </w:divBdr>
              <w:divsChild>
                <w:div w:id="16955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1953">
      <w:bodyDiv w:val="1"/>
      <w:marLeft w:val="0"/>
      <w:marRight w:val="0"/>
      <w:marTop w:val="0"/>
      <w:marBottom w:val="0"/>
      <w:divBdr>
        <w:top w:val="none" w:sz="0" w:space="0" w:color="auto"/>
        <w:left w:val="none" w:sz="0" w:space="0" w:color="auto"/>
        <w:bottom w:val="none" w:sz="0" w:space="0" w:color="auto"/>
        <w:right w:val="none" w:sz="0" w:space="0" w:color="auto"/>
      </w:divBdr>
    </w:div>
    <w:div w:id="211695084">
      <w:bodyDiv w:val="1"/>
      <w:marLeft w:val="0"/>
      <w:marRight w:val="0"/>
      <w:marTop w:val="0"/>
      <w:marBottom w:val="0"/>
      <w:divBdr>
        <w:top w:val="none" w:sz="0" w:space="0" w:color="auto"/>
        <w:left w:val="none" w:sz="0" w:space="0" w:color="auto"/>
        <w:bottom w:val="none" w:sz="0" w:space="0" w:color="auto"/>
        <w:right w:val="none" w:sz="0" w:space="0" w:color="auto"/>
      </w:divBdr>
      <w:divsChild>
        <w:div w:id="1410883808">
          <w:marLeft w:val="0"/>
          <w:marRight w:val="0"/>
          <w:marTop w:val="0"/>
          <w:marBottom w:val="0"/>
          <w:divBdr>
            <w:top w:val="none" w:sz="0" w:space="0" w:color="auto"/>
            <w:left w:val="none" w:sz="0" w:space="0" w:color="auto"/>
            <w:bottom w:val="none" w:sz="0" w:space="0" w:color="auto"/>
            <w:right w:val="none" w:sz="0" w:space="0" w:color="auto"/>
          </w:divBdr>
          <w:divsChild>
            <w:div w:id="718747290">
              <w:marLeft w:val="0"/>
              <w:marRight w:val="0"/>
              <w:marTop w:val="0"/>
              <w:marBottom w:val="0"/>
              <w:divBdr>
                <w:top w:val="none" w:sz="0" w:space="0" w:color="auto"/>
                <w:left w:val="none" w:sz="0" w:space="0" w:color="auto"/>
                <w:bottom w:val="none" w:sz="0" w:space="0" w:color="auto"/>
                <w:right w:val="none" w:sz="0" w:space="0" w:color="auto"/>
              </w:divBdr>
              <w:divsChild>
                <w:div w:id="7169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16">
      <w:bodyDiv w:val="1"/>
      <w:marLeft w:val="0"/>
      <w:marRight w:val="0"/>
      <w:marTop w:val="0"/>
      <w:marBottom w:val="0"/>
      <w:divBdr>
        <w:top w:val="none" w:sz="0" w:space="0" w:color="auto"/>
        <w:left w:val="none" w:sz="0" w:space="0" w:color="auto"/>
        <w:bottom w:val="none" w:sz="0" w:space="0" w:color="auto"/>
        <w:right w:val="none" w:sz="0" w:space="0" w:color="auto"/>
      </w:divBdr>
      <w:divsChild>
        <w:div w:id="896092582">
          <w:marLeft w:val="0"/>
          <w:marRight w:val="0"/>
          <w:marTop w:val="0"/>
          <w:marBottom w:val="0"/>
          <w:divBdr>
            <w:top w:val="none" w:sz="0" w:space="0" w:color="auto"/>
            <w:left w:val="none" w:sz="0" w:space="0" w:color="auto"/>
            <w:bottom w:val="none" w:sz="0" w:space="0" w:color="auto"/>
            <w:right w:val="none" w:sz="0" w:space="0" w:color="auto"/>
          </w:divBdr>
          <w:divsChild>
            <w:div w:id="2135561122">
              <w:marLeft w:val="0"/>
              <w:marRight w:val="0"/>
              <w:marTop w:val="0"/>
              <w:marBottom w:val="0"/>
              <w:divBdr>
                <w:top w:val="none" w:sz="0" w:space="0" w:color="auto"/>
                <w:left w:val="none" w:sz="0" w:space="0" w:color="auto"/>
                <w:bottom w:val="none" w:sz="0" w:space="0" w:color="auto"/>
                <w:right w:val="none" w:sz="0" w:space="0" w:color="auto"/>
              </w:divBdr>
              <w:divsChild>
                <w:div w:id="648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80302">
      <w:bodyDiv w:val="1"/>
      <w:marLeft w:val="0"/>
      <w:marRight w:val="0"/>
      <w:marTop w:val="0"/>
      <w:marBottom w:val="0"/>
      <w:divBdr>
        <w:top w:val="none" w:sz="0" w:space="0" w:color="auto"/>
        <w:left w:val="none" w:sz="0" w:space="0" w:color="auto"/>
        <w:bottom w:val="none" w:sz="0" w:space="0" w:color="auto"/>
        <w:right w:val="none" w:sz="0" w:space="0" w:color="auto"/>
      </w:divBdr>
      <w:divsChild>
        <w:div w:id="397556430">
          <w:marLeft w:val="0"/>
          <w:marRight w:val="0"/>
          <w:marTop w:val="0"/>
          <w:marBottom w:val="0"/>
          <w:divBdr>
            <w:top w:val="none" w:sz="0" w:space="0" w:color="auto"/>
            <w:left w:val="none" w:sz="0" w:space="0" w:color="auto"/>
            <w:bottom w:val="none" w:sz="0" w:space="0" w:color="auto"/>
            <w:right w:val="none" w:sz="0" w:space="0" w:color="auto"/>
          </w:divBdr>
          <w:divsChild>
            <w:div w:id="2060130937">
              <w:marLeft w:val="0"/>
              <w:marRight w:val="0"/>
              <w:marTop w:val="0"/>
              <w:marBottom w:val="0"/>
              <w:divBdr>
                <w:top w:val="none" w:sz="0" w:space="0" w:color="auto"/>
                <w:left w:val="none" w:sz="0" w:space="0" w:color="auto"/>
                <w:bottom w:val="none" w:sz="0" w:space="0" w:color="auto"/>
                <w:right w:val="none" w:sz="0" w:space="0" w:color="auto"/>
              </w:divBdr>
              <w:divsChild>
                <w:div w:id="21311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169728">
      <w:bodyDiv w:val="1"/>
      <w:marLeft w:val="0"/>
      <w:marRight w:val="0"/>
      <w:marTop w:val="0"/>
      <w:marBottom w:val="0"/>
      <w:divBdr>
        <w:top w:val="none" w:sz="0" w:space="0" w:color="auto"/>
        <w:left w:val="none" w:sz="0" w:space="0" w:color="auto"/>
        <w:bottom w:val="none" w:sz="0" w:space="0" w:color="auto"/>
        <w:right w:val="none" w:sz="0" w:space="0" w:color="auto"/>
      </w:divBdr>
      <w:divsChild>
        <w:div w:id="125782996">
          <w:marLeft w:val="0"/>
          <w:marRight w:val="0"/>
          <w:marTop w:val="0"/>
          <w:marBottom w:val="0"/>
          <w:divBdr>
            <w:top w:val="none" w:sz="0" w:space="0" w:color="auto"/>
            <w:left w:val="none" w:sz="0" w:space="0" w:color="auto"/>
            <w:bottom w:val="none" w:sz="0" w:space="0" w:color="auto"/>
            <w:right w:val="none" w:sz="0" w:space="0" w:color="auto"/>
          </w:divBdr>
          <w:divsChild>
            <w:div w:id="1071268188">
              <w:marLeft w:val="0"/>
              <w:marRight w:val="0"/>
              <w:marTop w:val="0"/>
              <w:marBottom w:val="0"/>
              <w:divBdr>
                <w:top w:val="none" w:sz="0" w:space="0" w:color="auto"/>
                <w:left w:val="none" w:sz="0" w:space="0" w:color="auto"/>
                <w:bottom w:val="none" w:sz="0" w:space="0" w:color="auto"/>
                <w:right w:val="none" w:sz="0" w:space="0" w:color="auto"/>
              </w:divBdr>
              <w:divsChild>
                <w:div w:id="5884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70912">
      <w:bodyDiv w:val="1"/>
      <w:marLeft w:val="0"/>
      <w:marRight w:val="0"/>
      <w:marTop w:val="0"/>
      <w:marBottom w:val="0"/>
      <w:divBdr>
        <w:top w:val="none" w:sz="0" w:space="0" w:color="auto"/>
        <w:left w:val="none" w:sz="0" w:space="0" w:color="auto"/>
        <w:bottom w:val="none" w:sz="0" w:space="0" w:color="auto"/>
        <w:right w:val="none" w:sz="0" w:space="0" w:color="auto"/>
      </w:divBdr>
    </w:div>
    <w:div w:id="912087320">
      <w:bodyDiv w:val="1"/>
      <w:marLeft w:val="0"/>
      <w:marRight w:val="0"/>
      <w:marTop w:val="0"/>
      <w:marBottom w:val="0"/>
      <w:divBdr>
        <w:top w:val="none" w:sz="0" w:space="0" w:color="auto"/>
        <w:left w:val="none" w:sz="0" w:space="0" w:color="auto"/>
        <w:bottom w:val="none" w:sz="0" w:space="0" w:color="auto"/>
        <w:right w:val="none" w:sz="0" w:space="0" w:color="auto"/>
      </w:divBdr>
    </w:div>
    <w:div w:id="1050958066">
      <w:bodyDiv w:val="1"/>
      <w:marLeft w:val="0"/>
      <w:marRight w:val="0"/>
      <w:marTop w:val="0"/>
      <w:marBottom w:val="0"/>
      <w:divBdr>
        <w:top w:val="none" w:sz="0" w:space="0" w:color="auto"/>
        <w:left w:val="none" w:sz="0" w:space="0" w:color="auto"/>
        <w:bottom w:val="none" w:sz="0" w:space="0" w:color="auto"/>
        <w:right w:val="none" w:sz="0" w:space="0" w:color="auto"/>
      </w:divBdr>
      <w:divsChild>
        <w:div w:id="1766269846">
          <w:marLeft w:val="0"/>
          <w:marRight w:val="0"/>
          <w:marTop w:val="0"/>
          <w:marBottom w:val="0"/>
          <w:divBdr>
            <w:top w:val="none" w:sz="0" w:space="0" w:color="auto"/>
            <w:left w:val="none" w:sz="0" w:space="0" w:color="auto"/>
            <w:bottom w:val="none" w:sz="0" w:space="0" w:color="auto"/>
            <w:right w:val="none" w:sz="0" w:space="0" w:color="auto"/>
          </w:divBdr>
          <w:divsChild>
            <w:div w:id="1556894795">
              <w:marLeft w:val="0"/>
              <w:marRight w:val="0"/>
              <w:marTop w:val="0"/>
              <w:marBottom w:val="0"/>
              <w:divBdr>
                <w:top w:val="none" w:sz="0" w:space="0" w:color="auto"/>
                <w:left w:val="none" w:sz="0" w:space="0" w:color="auto"/>
                <w:bottom w:val="none" w:sz="0" w:space="0" w:color="auto"/>
                <w:right w:val="none" w:sz="0" w:space="0" w:color="auto"/>
              </w:divBdr>
              <w:divsChild>
                <w:div w:id="3461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41857">
      <w:bodyDiv w:val="1"/>
      <w:marLeft w:val="0"/>
      <w:marRight w:val="0"/>
      <w:marTop w:val="0"/>
      <w:marBottom w:val="0"/>
      <w:divBdr>
        <w:top w:val="none" w:sz="0" w:space="0" w:color="auto"/>
        <w:left w:val="none" w:sz="0" w:space="0" w:color="auto"/>
        <w:bottom w:val="none" w:sz="0" w:space="0" w:color="auto"/>
        <w:right w:val="none" w:sz="0" w:space="0" w:color="auto"/>
      </w:divBdr>
    </w:div>
    <w:div w:id="1420323316">
      <w:bodyDiv w:val="1"/>
      <w:marLeft w:val="0"/>
      <w:marRight w:val="0"/>
      <w:marTop w:val="0"/>
      <w:marBottom w:val="0"/>
      <w:divBdr>
        <w:top w:val="none" w:sz="0" w:space="0" w:color="auto"/>
        <w:left w:val="none" w:sz="0" w:space="0" w:color="auto"/>
        <w:bottom w:val="none" w:sz="0" w:space="0" w:color="auto"/>
        <w:right w:val="none" w:sz="0" w:space="0" w:color="auto"/>
      </w:divBdr>
      <w:divsChild>
        <w:div w:id="302781247">
          <w:marLeft w:val="0"/>
          <w:marRight w:val="0"/>
          <w:marTop w:val="0"/>
          <w:marBottom w:val="0"/>
          <w:divBdr>
            <w:top w:val="none" w:sz="0" w:space="0" w:color="auto"/>
            <w:left w:val="none" w:sz="0" w:space="0" w:color="auto"/>
            <w:bottom w:val="none" w:sz="0" w:space="0" w:color="auto"/>
            <w:right w:val="none" w:sz="0" w:space="0" w:color="auto"/>
          </w:divBdr>
          <w:divsChild>
            <w:div w:id="1208376263">
              <w:marLeft w:val="0"/>
              <w:marRight w:val="0"/>
              <w:marTop w:val="0"/>
              <w:marBottom w:val="0"/>
              <w:divBdr>
                <w:top w:val="none" w:sz="0" w:space="0" w:color="auto"/>
                <w:left w:val="none" w:sz="0" w:space="0" w:color="auto"/>
                <w:bottom w:val="none" w:sz="0" w:space="0" w:color="auto"/>
                <w:right w:val="none" w:sz="0" w:space="0" w:color="auto"/>
              </w:divBdr>
              <w:divsChild>
                <w:div w:id="17131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45979">
      <w:bodyDiv w:val="1"/>
      <w:marLeft w:val="0"/>
      <w:marRight w:val="0"/>
      <w:marTop w:val="0"/>
      <w:marBottom w:val="0"/>
      <w:divBdr>
        <w:top w:val="none" w:sz="0" w:space="0" w:color="auto"/>
        <w:left w:val="none" w:sz="0" w:space="0" w:color="auto"/>
        <w:bottom w:val="none" w:sz="0" w:space="0" w:color="auto"/>
        <w:right w:val="none" w:sz="0" w:space="0" w:color="auto"/>
      </w:divBdr>
    </w:div>
    <w:div w:id="1658729360">
      <w:bodyDiv w:val="1"/>
      <w:marLeft w:val="0"/>
      <w:marRight w:val="0"/>
      <w:marTop w:val="0"/>
      <w:marBottom w:val="0"/>
      <w:divBdr>
        <w:top w:val="none" w:sz="0" w:space="0" w:color="auto"/>
        <w:left w:val="none" w:sz="0" w:space="0" w:color="auto"/>
        <w:bottom w:val="none" w:sz="0" w:space="0" w:color="auto"/>
        <w:right w:val="none" w:sz="0" w:space="0" w:color="auto"/>
      </w:divBdr>
      <w:divsChild>
        <w:div w:id="1979414542">
          <w:marLeft w:val="0"/>
          <w:marRight w:val="0"/>
          <w:marTop w:val="0"/>
          <w:marBottom w:val="0"/>
          <w:divBdr>
            <w:top w:val="none" w:sz="0" w:space="0" w:color="auto"/>
            <w:left w:val="none" w:sz="0" w:space="0" w:color="auto"/>
            <w:bottom w:val="none" w:sz="0" w:space="0" w:color="auto"/>
            <w:right w:val="none" w:sz="0" w:space="0" w:color="auto"/>
          </w:divBdr>
          <w:divsChild>
            <w:div w:id="67650808">
              <w:marLeft w:val="0"/>
              <w:marRight w:val="0"/>
              <w:marTop w:val="0"/>
              <w:marBottom w:val="0"/>
              <w:divBdr>
                <w:top w:val="none" w:sz="0" w:space="0" w:color="auto"/>
                <w:left w:val="none" w:sz="0" w:space="0" w:color="auto"/>
                <w:bottom w:val="none" w:sz="0" w:space="0" w:color="auto"/>
                <w:right w:val="none" w:sz="0" w:space="0" w:color="auto"/>
              </w:divBdr>
              <w:divsChild>
                <w:div w:id="19930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54025">
      <w:bodyDiv w:val="1"/>
      <w:marLeft w:val="0"/>
      <w:marRight w:val="0"/>
      <w:marTop w:val="0"/>
      <w:marBottom w:val="0"/>
      <w:divBdr>
        <w:top w:val="none" w:sz="0" w:space="0" w:color="auto"/>
        <w:left w:val="none" w:sz="0" w:space="0" w:color="auto"/>
        <w:bottom w:val="none" w:sz="0" w:space="0" w:color="auto"/>
        <w:right w:val="none" w:sz="0" w:space="0" w:color="auto"/>
      </w:divBdr>
      <w:divsChild>
        <w:div w:id="1527208442">
          <w:marLeft w:val="0"/>
          <w:marRight w:val="0"/>
          <w:marTop w:val="0"/>
          <w:marBottom w:val="0"/>
          <w:divBdr>
            <w:top w:val="none" w:sz="0" w:space="0" w:color="auto"/>
            <w:left w:val="none" w:sz="0" w:space="0" w:color="auto"/>
            <w:bottom w:val="none" w:sz="0" w:space="0" w:color="auto"/>
            <w:right w:val="none" w:sz="0" w:space="0" w:color="auto"/>
          </w:divBdr>
          <w:divsChild>
            <w:div w:id="352222586">
              <w:marLeft w:val="0"/>
              <w:marRight w:val="0"/>
              <w:marTop w:val="0"/>
              <w:marBottom w:val="0"/>
              <w:divBdr>
                <w:top w:val="none" w:sz="0" w:space="0" w:color="auto"/>
                <w:left w:val="none" w:sz="0" w:space="0" w:color="auto"/>
                <w:bottom w:val="none" w:sz="0" w:space="0" w:color="auto"/>
                <w:right w:val="none" w:sz="0" w:space="0" w:color="auto"/>
              </w:divBdr>
              <w:divsChild>
                <w:div w:id="13505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369540">
      <w:bodyDiv w:val="1"/>
      <w:marLeft w:val="0"/>
      <w:marRight w:val="0"/>
      <w:marTop w:val="0"/>
      <w:marBottom w:val="0"/>
      <w:divBdr>
        <w:top w:val="none" w:sz="0" w:space="0" w:color="auto"/>
        <w:left w:val="none" w:sz="0" w:space="0" w:color="auto"/>
        <w:bottom w:val="none" w:sz="0" w:space="0" w:color="auto"/>
        <w:right w:val="none" w:sz="0" w:space="0" w:color="auto"/>
      </w:divBdr>
      <w:divsChild>
        <w:div w:id="2075928132">
          <w:marLeft w:val="0"/>
          <w:marRight w:val="0"/>
          <w:marTop w:val="0"/>
          <w:marBottom w:val="0"/>
          <w:divBdr>
            <w:top w:val="none" w:sz="0" w:space="0" w:color="auto"/>
            <w:left w:val="none" w:sz="0" w:space="0" w:color="auto"/>
            <w:bottom w:val="none" w:sz="0" w:space="0" w:color="auto"/>
            <w:right w:val="none" w:sz="0" w:space="0" w:color="auto"/>
          </w:divBdr>
        </w:div>
      </w:divsChild>
    </w:div>
    <w:div w:id="1772235808">
      <w:bodyDiv w:val="1"/>
      <w:marLeft w:val="0"/>
      <w:marRight w:val="0"/>
      <w:marTop w:val="0"/>
      <w:marBottom w:val="0"/>
      <w:divBdr>
        <w:top w:val="none" w:sz="0" w:space="0" w:color="auto"/>
        <w:left w:val="none" w:sz="0" w:space="0" w:color="auto"/>
        <w:bottom w:val="none" w:sz="0" w:space="0" w:color="auto"/>
        <w:right w:val="none" w:sz="0" w:space="0" w:color="auto"/>
      </w:divBdr>
      <w:divsChild>
        <w:div w:id="10692934">
          <w:marLeft w:val="0"/>
          <w:marRight w:val="0"/>
          <w:marTop w:val="0"/>
          <w:marBottom w:val="0"/>
          <w:divBdr>
            <w:top w:val="none" w:sz="0" w:space="0" w:color="auto"/>
            <w:left w:val="none" w:sz="0" w:space="0" w:color="auto"/>
            <w:bottom w:val="none" w:sz="0" w:space="0" w:color="auto"/>
            <w:right w:val="none" w:sz="0" w:space="0" w:color="auto"/>
          </w:divBdr>
          <w:divsChild>
            <w:div w:id="1883906157">
              <w:marLeft w:val="0"/>
              <w:marRight w:val="0"/>
              <w:marTop w:val="0"/>
              <w:marBottom w:val="0"/>
              <w:divBdr>
                <w:top w:val="none" w:sz="0" w:space="0" w:color="auto"/>
                <w:left w:val="none" w:sz="0" w:space="0" w:color="auto"/>
                <w:bottom w:val="none" w:sz="0" w:space="0" w:color="auto"/>
                <w:right w:val="none" w:sz="0" w:space="0" w:color="auto"/>
              </w:divBdr>
              <w:divsChild>
                <w:div w:id="10050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41007">
      <w:bodyDiv w:val="1"/>
      <w:marLeft w:val="0"/>
      <w:marRight w:val="0"/>
      <w:marTop w:val="0"/>
      <w:marBottom w:val="0"/>
      <w:divBdr>
        <w:top w:val="none" w:sz="0" w:space="0" w:color="auto"/>
        <w:left w:val="none" w:sz="0" w:space="0" w:color="auto"/>
        <w:bottom w:val="none" w:sz="0" w:space="0" w:color="auto"/>
        <w:right w:val="none" w:sz="0" w:space="0" w:color="auto"/>
      </w:divBdr>
    </w:div>
    <w:div w:id="1794713822">
      <w:bodyDiv w:val="1"/>
      <w:marLeft w:val="0"/>
      <w:marRight w:val="0"/>
      <w:marTop w:val="0"/>
      <w:marBottom w:val="0"/>
      <w:divBdr>
        <w:top w:val="none" w:sz="0" w:space="0" w:color="auto"/>
        <w:left w:val="none" w:sz="0" w:space="0" w:color="auto"/>
        <w:bottom w:val="none" w:sz="0" w:space="0" w:color="auto"/>
        <w:right w:val="none" w:sz="0" w:space="0" w:color="auto"/>
      </w:divBdr>
    </w:div>
    <w:div w:id="1858689513">
      <w:bodyDiv w:val="1"/>
      <w:marLeft w:val="0"/>
      <w:marRight w:val="0"/>
      <w:marTop w:val="0"/>
      <w:marBottom w:val="0"/>
      <w:divBdr>
        <w:top w:val="none" w:sz="0" w:space="0" w:color="auto"/>
        <w:left w:val="none" w:sz="0" w:space="0" w:color="auto"/>
        <w:bottom w:val="none" w:sz="0" w:space="0" w:color="auto"/>
        <w:right w:val="none" w:sz="0" w:space="0" w:color="auto"/>
      </w:divBdr>
    </w:div>
    <w:div w:id="1959528538">
      <w:bodyDiv w:val="1"/>
      <w:marLeft w:val="0"/>
      <w:marRight w:val="0"/>
      <w:marTop w:val="0"/>
      <w:marBottom w:val="0"/>
      <w:divBdr>
        <w:top w:val="none" w:sz="0" w:space="0" w:color="auto"/>
        <w:left w:val="none" w:sz="0" w:space="0" w:color="auto"/>
        <w:bottom w:val="none" w:sz="0" w:space="0" w:color="auto"/>
        <w:right w:val="none" w:sz="0" w:space="0" w:color="auto"/>
      </w:divBdr>
      <w:divsChild>
        <w:div w:id="633410751">
          <w:marLeft w:val="0"/>
          <w:marRight w:val="0"/>
          <w:marTop w:val="0"/>
          <w:marBottom w:val="0"/>
          <w:divBdr>
            <w:top w:val="none" w:sz="0" w:space="0" w:color="auto"/>
            <w:left w:val="none" w:sz="0" w:space="0" w:color="auto"/>
            <w:bottom w:val="none" w:sz="0" w:space="0" w:color="auto"/>
            <w:right w:val="none" w:sz="0" w:space="0" w:color="auto"/>
          </w:divBdr>
          <w:divsChild>
            <w:div w:id="487207613">
              <w:marLeft w:val="0"/>
              <w:marRight w:val="0"/>
              <w:marTop w:val="0"/>
              <w:marBottom w:val="0"/>
              <w:divBdr>
                <w:top w:val="none" w:sz="0" w:space="0" w:color="auto"/>
                <w:left w:val="none" w:sz="0" w:space="0" w:color="auto"/>
                <w:bottom w:val="none" w:sz="0" w:space="0" w:color="auto"/>
                <w:right w:val="none" w:sz="0" w:space="0" w:color="auto"/>
              </w:divBdr>
              <w:divsChild>
                <w:div w:id="4756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8878">
      <w:bodyDiv w:val="1"/>
      <w:marLeft w:val="0"/>
      <w:marRight w:val="0"/>
      <w:marTop w:val="0"/>
      <w:marBottom w:val="0"/>
      <w:divBdr>
        <w:top w:val="none" w:sz="0" w:space="0" w:color="auto"/>
        <w:left w:val="none" w:sz="0" w:space="0" w:color="auto"/>
        <w:bottom w:val="none" w:sz="0" w:space="0" w:color="auto"/>
        <w:right w:val="none" w:sz="0" w:space="0" w:color="auto"/>
      </w:divBdr>
      <w:divsChild>
        <w:div w:id="1569267040">
          <w:marLeft w:val="0"/>
          <w:marRight w:val="0"/>
          <w:marTop w:val="0"/>
          <w:marBottom w:val="0"/>
          <w:divBdr>
            <w:top w:val="none" w:sz="0" w:space="0" w:color="auto"/>
            <w:left w:val="none" w:sz="0" w:space="0" w:color="auto"/>
            <w:bottom w:val="none" w:sz="0" w:space="0" w:color="auto"/>
            <w:right w:val="none" w:sz="0" w:space="0" w:color="auto"/>
          </w:divBdr>
          <w:divsChild>
            <w:div w:id="2137602838">
              <w:marLeft w:val="0"/>
              <w:marRight w:val="0"/>
              <w:marTop w:val="0"/>
              <w:marBottom w:val="0"/>
              <w:divBdr>
                <w:top w:val="none" w:sz="0" w:space="0" w:color="auto"/>
                <w:left w:val="none" w:sz="0" w:space="0" w:color="auto"/>
                <w:bottom w:val="none" w:sz="0" w:space="0" w:color="auto"/>
                <w:right w:val="none" w:sz="0" w:space="0" w:color="auto"/>
              </w:divBdr>
              <w:divsChild>
                <w:div w:id="4618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1242</Words>
  <Characters>7530</Characters>
  <Application>Microsoft Office Word</Application>
  <DocSecurity>0</DocSecurity>
  <Lines>123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dc:creator>
  <cp:keywords/>
  <dc:description/>
  <cp:lastModifiedBy>Eze</cp:lastModifiedBy>
  <cp:revision>2</cp:revision>
  <dcterms:created xsi:type="dcterms:W3CDTF">2024-03-21T02:43:00Z</dcterms:created>
  <dcterms:modified xsi:type="dcterms:W3CDTF">2024-03-21T02:43:00Z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db628fb7-6519-4e58-af13-365507249089</vt:lpwstr>
  </property>
</Properties>
</file>