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Nyala" w:cs="Nyala" w:eastAsia="Nyala" w:hAnsi="Nyala"/>
          <w:rtl w:val="0"/>
        </w:rPr>
        <w:t xml:space="preserve">           የኮንትራት መዋቅር</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Nyala" w:cs="Nyala" w:eastAsia="Nyala" w:hAnsi="Nyala"/>
          <w:rtl w:val="0"/>
        </w:rPr>
        <w:t xml:space="preserve">በ ሶሊዲቲ ውስጥ ያሉ ኮንትራቶች ኦብጀክት ኦረንትድ ቋንቋዎች ካሉ ክፍሎች ጋር ተመሳሳይ ናቸው።እያንዳንዱ ውል የስቴት ተለዋዋጮች፣ ፈንክሽንስ፣ የተግባር ማስተካከያዎች፣ ክስተቶች፣ ስህተቶች፣ የአወቃቀር አይነቶች እና የኢነም አይነቶች መግለጫዎችን ሊይዝ ይችላል።በተጨማሪም ኮንትራቶች ከሌሎች ኮንትራቶች ሊወርሱ ይችላሉ።</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Nyala" w:cs="Nyala" w:eastAsia="Nyala" w:hAnsi="Nyala"/>
          <w:rtl w:val="0"/>
        </w:rPr>
        <w:t xml:space="preserve">ቤተመጻሕፍት እና መገናኛዎች የሚባሉ ልዩ የውል ዓይነቶችም አሉ።</w:t>
      </w:r>
    </w:p>
    <w:p w:rsidR="00000000" w:rsidDel="00000000" w:rsidP="00000000" w:rsidRDefault="00000000" w:rsidRPr="00000000" w14:paraId="00000006">
      <w:pPr>
        <w:rPr/>
      </w:pPr>
      <w:r w:rsidDel="00000000" w:rsidR="00000000" w:rsidRPr="00000000">
        <w:rPr>
          <w:rFonts w:ascii="Nyala" w:cs="Nyala" w:eastAsia="Nyala" w:hAnsi="Nyala"/>
          <w:rtl w:val="0"/>
        </w:rPr>
        <w:t xml:space="preserve">ስለ ኮንትራቶች ያለው ክፍል ከዚህ ክፍል የበለጠ ዝርዝሮችን ይዟል, ይህም ፈጣን አጠቃላይ እይታን ለማቅረብ ያገለግላል.</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Nyala" w:cs="Nyala" w:eastAsia="Nyala" w:hAnsi="Nyala"/>
          <w:rtl w:val="0"/>
        </w:rPr>
        <w:t xml:space="preserve">የስቴት ተለዋዋጮች</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Nyala" w:cs="Nyala" w:eastAsia="Nyala" w:hAnsi="Nyala"/>
          <w:rtl w:val="0"/>
        </w:rPr>
        <w:t xml:space="preserve">የስቴት ተለዋዋጮች እሴቶቻቸው በቋሚነት በኮንትራት ማከማቻ ውስጥ የሚቀመጡ ተለዋዋጮች ናቸው።</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SPDX-License-Identifier: GPL-3.0</w:t>
      </w:r>
    </w:p>
    <w:p w:rsidR="00000000" w:rsidDel="00000000" w:rsidP="00000000" w:rsidRDefault="00000000" w:rsidRPr="00000000" w14:paraId="0000000D">
      <w:pPr>
        <w:rPr/>
      </w:pPr>
      <w:r w:rsidDel="00000000" w:rsidR="00000000" w:rsidRPr="00000000">
        <w:rPr>
          <w:rtl w:val="0"/>
        </w:rPr>
        <w:t xml:space="preserve">pragma solidity &gt;=0.4.0 &lt;0.9.0;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contract SimpleStorage {</w:t>
      </w:r>
    </w:p>
    <w:p w:rsidR="00000000" w:rsidDel="00000000" w:rsidP="00000000" w:rsidRDefault="00000000" w:rsidRPr="00000000" w14:paraId="00000010">
      <w:pPr>
        <w:rPr/>
      </w:pPr>
      <w:r w:rsidDel="00000000" w:rsidR="00000000" w:rsidRPr="00000000">
        <w:rPr>
          <w:rtl w:val="0"/>
        </w:rPr>
        <w:t xml:space="preserve">    uint storedData; // State variable</w:t>
      </w:r>
    </w:p>
    <w:p w:rsidR="00000000" w:rsidDel="00000000" w:rsidP="00000000" w:rsidRDefault="00000000" w:rsidRPr="00000000" w14:paraId="00000011">
      <w:pPr>
        <w:rPr/>
      </w:pPr>
      <w:r w:rsidDel="00000000" w:rsidR="00000000" w:rsidRPr="00000000">
        <w:rPr>
          <w:rtl w:val="0"/>
        </w:rPr>
        <w:t xml:space="preserve">    // ...</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Nyala" w:cs="Nyala" w:eastAsia="Nyala" w:hAnsi="Nyala"/>
          <w:rtl w:val="0"/>
        </w:rPr>
        <w:t xml:space="preserve">ፈንክሽንስ</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Nyala" w:cs="Nyala" w:eastAsia="Nyala" w:hAnsi="Nyala"/>
          <w:rtl w:val="0"/>
        </w:rPr>
        <w:t xml:space="preserve">ፈንክሽንስ የሚፈጸሙ የኮድ አሃዶች ናቸው።ፈንክሽንስ አብዛኛውን ጊዜ የሚገለጹት በውል ውስጥ ነው፣ ነገር ግን ከውል ውጪም ሊገለጹ ይችላሉ።</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SPDX-License-Identifier: GPL-3.0</w:t>
      </w:r>
    </w:p>
    <w:p w:rsidR="00000000" w:rsidDel="00000000" w:rsidP="00000000" w:rsidRDefault="00000000" w:rsidRPr="00000000" w14:paraId="00000019">
      <w:pPr>
        <w:rPr/>
      </w:pPr>
      <w:r w:rsidDel="00000000" w:rsidR="00000000" w:rsidRPr="00000000">
        <w:rPr>
          <w:rtl w:val="0"/>
        </w:rPr>
        <w:t xml:space="preserve">pragma solidity &gt;=0.7.1 &lt;0.9.0;</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contract SimpleAuction {</w:t>
      </w:r>
    </w:p>
    <w:p w:rsidR="00000000" w:rsidDel="00000000" w:rsidP="00000000" w:rsidRDefault="00000000" w:rsidRPr="00000000" w14:paraId="0000001C">
      <w:pPr>
        <w:rPr/>
      </w:pPr>
      <w:r w:rsidDel="00000000" w:rsidR="00000000" w:rsidRPr="00000000">
        <w:rPr>
          <w:rtl w:val="0"/>
        </w:rPr>
        <w:t xml:space="preserve">    function bid() public payable { // Function</w:t>
      </w:r>
    </w:p>
    <w:p w:rsidR="00000000" w:rsidDel="00000000" w:rsidP="00000000" w:rsidRDefault="00000000" w:rsidRPr="00000000" w14:paraId="0000001D">
      <w:pPr>
        <w:rPr/>
      </w:pPr>
      <w:r w:rsidDel="00000000" w:rsidR="00000000" w:rsidRPr="00000000">
        <w:rPr>
          <w:rtl w:val="0"/>
        </w:rPr>
        <w:t xml:space="preserve">        // ...</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Helper function defined outside of a contract</w:t>
      </w:r>
    </w:p>
    <w:p w:rsidR="00000000" w:rsidDel="00000000" w:rsidP="00000000" w:rsidRDefault="00000000" w:rsidRPr="00000000" w14:paraId="00000022">
      <w:pPr>
        <w:rPr/>
      </w:pPr>
      <w:r w:rsidDel="00000000" w:rsidR="00000000" w:rsidRPr="00000000">
        <w:rPr>
          <w:rtl w:val="0"/>
        </w:rPr>
        <w:t xml:space="preserve">function helper(uint x) pure returns (uint) {</w:t>
      </w:r>
    </w:p>
    <w:p w:rsidR="00000000" w:rsidDel="00000000" w:rsidP="00000000" w:rsidRDefault="00000000" w:rsidRPr="00000000" w14:paraId="00000023">
      <w:pPr>
        <w:rPr/>
      </w:pPr>
      <w:r w:rsidDel="00000000" w:rsidR="00000000" w:rsidRPr="00000000">
        <w:rPr>
          <w:rtl w:val="0"/>
        </w:rPr>
        <w:t xml:space="preserve">    return x * 2;</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Nyala" w:cs="Nyala" w:eastAsia="Nyala" w:hAnsi="Nyala"/>
          <w:rtl w:val="0"/>
        </w:rPr>
        <w:t xml:space="preserve">የፈንክሽን ጥሪዎች ከውስጥም ከውጪም ሊከሰቱ ይችላሉ እና ለሌሎች ኮንትራቶች የተለያየ የታይነት ደረጃ አላቸው።ፈንክሽንስ  መለኪያዎችን ይቀበላሉ እና ተለዋዋጮችን ይመለሳሉ ግቤቶችን እና እሴቶችን በመካከላቸው ለማለፍ።</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Nyala" w:cs="Nyala" w:eastAsia="Nyala" w:hAnsi="Nyala"/>
          <w:rtl w:val="0"/>
        </w:rPr>
        <w:t xml:space="preserve">የፈንክሽንስ ማስተካከያዎች</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Nyala" w:cs="Nyala" w:eastAsia="Nyala" w:hAnsi="Nyala"/>
          <w:rtl w:val="0"/>
        </w:rPr>
        <w:t xml:space="preserve">የፈንክሽንስ መቀየሪያዎች የተግባርን የትርጓሜ ሂደት በገላጭ መንገድ ለማሻሻል ጥቅም ላይ ሊውሉ ይችላሉ (በኮንትራቶች ክፍል ውስጥ የተግባር ማስተካከያዎችን ይመልከቱ)።</w:t>
      </w:r>
    </w:p>
    <w:p w:rsidR="00000000" w:rsidDel="00000000" w:rsidP="00000000" w:rsidRDefault="00000000" w:rsidRPr="00000000" w14:paraId="0000002B">
      <w:pPr>
        <w:rPr/>
      </w:pPr>
      <w:r w:rsidDel="00000000" w:rsidR="00000000" w:rsidRPr="00000000">
        <w:rPr>
          <w:rFonts w:ascii="Nyala" w:cs="Nyala" w:eastAsia="Nyala" w:hAnsi="Nyala"/>
          <w:rtl w:val="0"/>
        </w:rPr>
        <w:t xml:space="preserve">ከመጠን በላይ መጫን ፣ ማለትም ፣ ተመሳሳይ የመቀየሪያ ስም ከተለያዩ ልኬቶች ጋር መኖር አይቻልም።ልክ እንደ ፈንክሽን፣ መቀየሪያዎች ሊሻሩ ይችላሉ።</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SPDX-License-Identifier: GPL-3.0</w:t>
      </w:r>
    </w:p>
    <w:p w:rsidR="00000000" w:rsidDel="00000000" w:rsidP="00000000" w:rsidRDefault="00000000" w:rsidRPr="00000000" w14:paraId="0000002E">
      <w:pPr>
        <w:rPr/>
      </w:pPr>
      <w:r w:rsidDel="00000000" w:rsidR="00000000" w:rsidRPr="00000000">
        <w:rPr>
          <w:rtl w:val="0"/>
        </w:rPr>
        <w:t xml:space="preserve">pragma solidity &gt;=0.4.22 &lt;0.9.0;</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contract Purchase {</w:t>
      </w:r>
    </w:p>
    <w:p w:rsidR="00000000" w:rsidDel="00000000" w:rsidP="00000000" w:rsidRDefault="00000000" w:rsidRPr="00000000" w14:paraId="00000031">
      <w:pPr>
        <w:rPr/>
      </w:pPr>
      <w:r w:rsidDel="00000000" w:rsidR="00000000" w:rsidRPr="00000000">
        <w:rPr>
          <w:rtl w:val="0"/>
        </w:rPr>
        <w:t xml:space="preserve">    address public seller;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modifier onlySeller() { // Modifier</w:t>
      </w:r>
    </w:p>
    <w:p w:rsidR="00000000" w:rsidDel="00000000" w:rsidP="00000000" w:rsidRDefault="00000000" w:rsidRPr="00000000" w14:paraId="00000034">
      <w:pPr>
        <w:rPr/>
      </w:pPr>
      <w:r w:rsidDel="00000000" w:rsidR="00000000" w:rsidRPr="00000000">
        <w:rPr>
          <w:rtl w:val="0"/>
        </w:rPr>
        <w:t xml:space="preserve">        require(</w:t>
      </w:r>
    </w:p>
    <w:p w:rsidR="00000000" w:rsidDel="00000000" w:rsidP="00000000" w:rsidRDefault="00000000" w:rsidRPr="00000000" w14:paraId="00000035">
      <w:pPr>
        <w:rPr/>
      </w:pPr>
      <w:r w:rsidDel="00000000" w:rsidR="00000000" w:rsidRPr="00000000">
        <w:rPr>
          <w:rtl w:val="0"/>
        </w:rPr>
        <w:t xml:space="preserve">            msg.sender == seller,</w:t>
      </w:r>
    </w:p>
    <w:p w:rsidR="00000000" w:rsidDel="00000000" w:rsidP="00000000" w:rsidRDefault="00000000" w:rsidRPr="00000000" w14:paraId="00000036">
      <w:pPr>
        <w:rPr/>
      </w:pPr>
      <w:r w:rsidDel="00000000" w:rsidR="00000000" w:rsidRPr="00000000">
        <w:rPr>
          <w:rtl w:val="0"/>
        </w:rPr>
        <w:t xml:space="preserve">            "Only seller can call this."</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_;</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function abort() public view onlySeller { // Modifier usage</w:t>
      </w:r>
    </w:p>
    <w:p w:rsidR="00000000" w:rsidDel="00000000" w:rsidP="00000000" w:rsidRDefault="00000000" w:rsidRPr="00000000" w14:paraId="0000003C">
      <w:pPr>
        <w:rPr/>
      </w:pPr>
      <w:r w:rsidDel="00000000" w:rsidR="00000000" w:rsidRPr="00000000">
        <w:rPr>
          <w:rtl w:val="0"/>
        </w:rPr>
        <w:t xml:space="preserve">        // ...</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Fonts w:ascii="Nyala" w:cs="Nyala" w:eastAsia="Nyala" w:hAnsi="Nyala"/>
          <w:rtl w:val="0"/>
        </w:rPr>
        <w:t xml:space="preserve">ክስተቶች</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Nyala" w:cs="Nyala" w:eastAsia="Nyala" w:hAnsi="Nyala"/>
          <w:rtl w:val="0"/>
        </w:rPr>
        <w:t xml:space="preserve">ክስተቶች ከEVM ምዝግብ ማስታወሻ መገልገያዎች ጋር ምቹ በይነገጽ ናቸው።</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SPDX-License-Identifier: GPL-3.0</w:t>
      </w:r>
    </w:p>
    <w:p w:rsidR="00000000" w:rsidDel="00000000" w:rsidP="00000000" w:rsidRDefault="00000000" w:rsidRPr="00000000" w14:paraId="00000044">
      <w:pPr>
        <w:rPr/>
      </w:pPr>
      <w:r w:rsidDel="00000000" w:rsidR="00000000" w:rsidRPr="00000000">
        <w:rPr>
          <w:rtl w:val="0"/>
        </w:rPr>
        <w:t xml:space="preserve">pragma solidity ^0.8.22;</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event HighestBidIncreased(address bidder, uint amount); // Event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contract SimpleAuction {</w:t>
      </w:r>
    </w:p>
    <w:p w:rsidR="00000000" w:rsidDel="00000000" w:rsidP="00000000" w:rsidRDefault="00000000" w:rsidRPr="00000000" w14:paraId="00000049">
      <w:pPr>
        <w:rPr/>
      </w:pPr>
      <w:r w:rsidDel="00000000" w:rsidR="00000000" w:rsidRPr="00000000">
        <w:rPr>
          <w:rtl w:val="0"/>
        </w:rPr>
        <w:t xml:space="preserve">    function bid() public payable {</w:t>
      </w:r>
    </w:p>
    <w:p w:rsidR="00000000" w:rsidDel="00000000" w:rsidP="00000000" w:rsidRDefault="00000000" w:rsidRPr="00000000" w14:paraId="0000004A">
      <w:pPr>
        <w:rPr/>
      </w:pPr>
      <w:r w:rsidDel="00000000" w:rsidR="00000000" w:rsidRPr="00000000">
        <w:rPr>
          <w:rtl w:val="0"/>
        </w:rPr>
        <w:t xml:space="preserve">        // ...</w:t>
      </w:r>
    </w:p>
    <w:p w:rsidR="00000000" w:rsidDel="00000000" w:rsidP="00000000" w:rsidRDefault="00000000" w:rsidRPr="00000000" w14:paraId="0000004B">
      <w:pPr>
        <w:rPr/>
      </w:pPr>
      <w:r w:rsidDel="00000000" w:rsidR="00000000" w:rsidRPr="00000000">
        <w:rPr>
          <w:rtl w:val="0"/>
        </w:rPr>
        <w:t xml:space="preserve">        emit HighestBidIncreased(msg.sender, msg.value); // Triggering event</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Fonts w:ascii="Nyala" w:cs="Nyala" w:eastAsia="Nyala" w:hAnsi="Nyala"/>
          <w:rtl w:val="0"/>
        </w:rPr>
        <w:t xml:space="preserve">ክስተቶች እንዴት እንደሚታወጁ እና ከdapp ውስጥ ጥቅም ላይ ሊውሉ እንደሚችሉ መረጃ ለማግኘት በኮንትራቶች ውስጥ ያሉትን ክስተቶች ይመልከቱ።</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Nyala" w:cs="Nyala" w:eastAsia="Nyala" w:hAnsi="Nyala"/>
          <w:rtl w:val="0"/>
        </w:rPr>
        <w:t xml:space="preserve">ስህተቶች</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Nyala" w:cs="Nyala" w:eastAsia="Nyala" w:hAnsi="Nyala"/>
          <w:rtl w:val="0"/>
        </w:rPr>
        <w:t xml:space="preserve">ስህተቶች ለውድቀት ሁኔታዎች ገላጭ ስሞችን እና መረጃዎችን እንዲገልጹ ያስችሉዎታል። በተገላቢጦሽ መግለጫዎች ውስጥ ስህተቶችን መጠቀም ይቻላል. ከሕብረቁምፊ መግለጫዎች ጋር ሲነጻጸር፣ስህተቶች በጣም ርካሽ ናቸው እና ተጨማሪ ውሂብን ኮድ እንዲያደርጉ ያስችሉዎታል። ስህተቱን ለተጠቃሚው ለመግለጽ NatSpec ን መጠቀም ይችላሉ።</w:t>
      </w:r>
    </w:p>
    <w:p w:rsidR="00000000" w:rsidDel="00000000" w:rsidP="00000000" w:rsidRDefault="00000000" w:rsidRPr="00000000" w14:paraId="00000053">
      <w:pPr>
        <w:rPr/>
      </w:pPr>
      <w:r w:rsidDel="00000000" w:rsidR="00000000" w:rsidRPr="00000000">
        <w:rPr>
          <w:rtl w:val="0"/>
        </w:rPr>
        <w:t xml:space="preserve">// SPDX-License-Identifier: GPL-3.0</w:t>
      </w:r>
    </w:p>
    <w:p w:rsidR="00000000" w:rsidDel="00000000" w:rsidP="00000000" w:rsidRDefault="00000000" w:rsidRPr="00000000" w14:paraId="00000054">
      <w:pPr>
        <w:rPr/>
      </w:pPr>
      <w:r w:rsidDel="00000000" w:rsidR="00000000" w:rsidRPr="00000000">
        <w:rPr>
          <w:rtl w:val="0"/>
        </w:rPr>
        <w:t xml:space="preserve">pragma solidity ^0.8.4;</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Not enough funds for transfer. Requested `requested`,</w:t>
      </w:r>
    </w:p>
    <w:p w:rsidR="00000000" w:rsidDel="00000000" w:rsidP="00000000" w:rsidRDefault="00000000" w:rsidRPr="00000000" w14:paraId="00000057">
      <w:pPr>
        <w:rPr/>
      </w:pPr>
      <w:r w:rsidDel="00000000" w:rsidR="00000000" w:rsidRPr="00000000">
        <w:rPr>
          <w:rtl w:val="0"/>
        </w:rPr>
        <w:t xml:space="preserve">/// but only `available` available.</w:t>
      </w:r>
    </w:p>
    <w:p w:rsidR="00000000" w:rsidDel="00000000" w:rsidP="00000000" w:rsidRDefault="00000000" w:rsidRPr="00000000" w14:paraId="00000058">
      <w:pPr>
        <w:rPr/>
      </w:pPr>
      <w:r w:rsidDel="00000000" w:rsidR="00000000" w:rsidRPr="00000000">
        <w:rPr>
          <w:rtl w:val="0"/>
        </w:rPr>
        <w:t xml:space="preserve">error NotEnoughFunds(uint requested, uint available);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contract Token {</w:t>
      </w:r>
    </w:p>
    <w:p w:rsidR="00000000" w:rsidDel="00000000" w:rsidP="00000000" w:rsidRDefault="00000000" w:rsidRPr="00000000" w14:paraId="0000005B">
      <w:pPr>
        <w:rPr/>
      </w:pPr>
      <w:r w:rsidDel="00000000" w:rsidR="00000000" w:rsidRPr="00000000">
        <w:rPr>
          <w:rtl w:val="0"/>
        </w:rPr>
        <w:t xml:space="preserve">    mapping(address =&gt; uint) balances;</w:t>
      </w:r>
    </w:p>
    <w:p w:rsidR="00000000" w:rsidDel="00000000" w:rsidP="00000000" w:rsidRDefault="00000000" w:rsidRPr="00000000" w14:paraId="0000005C">
      <w:pPr>
        <w:rPr/>
      </w:pPr>
      <w:r w:rsidDel="00000000" w:rsidR="00000000" w:rsidRPr="00000000">
        <w:rPr>
          <w:rtl w:val="0"/>
        </w:rPr>
        <w:t xml:space="preserve">    function transfer(address to, uint amount) public {</w:t>
      </w:r>
    </w:p>
    <w:p w:rsidR="00000000" w:rsidDel="00000000" w:rsidP="00000000" w:rsidRDefault="00000000" w:rsidRPr="00000000" w14:paraId="0000005D">
      <w:pPr>
        <w:rPr/>
      </w:pPr>
      <w:r w:rsidDel="00000000" w:rsidR="00000000" w:rsidRPr="00000000">
        <w:rPr>
          <w:rtl w:val="0"/>
        </w:rPr>
        <w:t xml:space="preserve">        uint balance = balances[msg.sender];</w:t>
      </w:r>
    </w:p>
    <w:p w:rsidR="00000000" w:rsidDel="00000000" w:rsidP="00000000" w:rsidRDefault="00000000" w:rsidRPr="00000000" w14:paraId="0000005E">
      <w:pPr>
        <w:rPr/>
      </w:pPr>
      <w:r w:rsidDel="00000000" w:rsidR="00000000" w:rsidRPr="00000000">
        <w:rPr>
          <w:rtl w:val="0"/>
        </w:rPr>
        <w:t xml:space="preserve">        if (balance &lt; amount)</w:t>
      </w:r>
    </w:p>
    <w:p w:rsidR="00000000" w:rsidDel="00000000" w:rsidP="00000000" w:rsidRDefault="00000000" w:rsidRPr="00000000" w14:paraId="0000005F">
      <w:pPr>
        <w:rPr/>
      </w:pPr>
      <w:r w:rsidDel="00000000" w:rsidR="00000000" w:rsidRPr="00000000">
        <w:rPr>
          <w:rtl w:val="0"/>
        </w:rPr>
        <w:t xml:space="preserve">            revert NotEnoughFunds(amount, balance);</w:t>
      </w:r>
    </w:p>
    <w:p w:rsidR="00000000" w:rsidDel="00000000" w:rsidP="00000000" w:rsidRDefault="00000000" w:rsidRPr="00000000" w14:paraId="00000060">
      <w:pPr>
        <w:rPr/>
      </w:pPr>
      <w:r w:rsidDel="00000000" w:rsidR="00000000" w:rsidRPr="00000000">
        <w:rPr>
          <w:rtl w:val="0"/>
        </w:rPr>
        <w:t xml:space="preserve">        balances[msg.sender] -= amount;</w:t>
      </w:r>
    </w:p>
    <w:p w:rsidR="00000000" w:rsidDel="00000000" w:rsidP="00000000" w:rsidRDefault="00000000" w:rsidRPr="00000000" w14:paraId="00000061">
      <w:pPr>
        <w:rPr/>
      </w:pPr>
      <w:r w:rsidDel="00000000" w:rsidR="00000000" w:rsidRPr="00000000">
        <w:rPr>
          <w:rtl w:val="0"/>
        </w:rPr>
        <w:t xml:space="preserve">        balances[to] += amount;</w:t>
      </w:r>
    </w:p>
    <w:p w:rsidR="00000000" w:rsidDel="00000000" w:rsidP="00000000" w:rsidRDefault="00000000" w:rsidRPr="00000000" w14:paraId="00000062">
      <w:pPr>
        <w:rPr/>
      </w:pPr>
      <w:r w:rsidDel="00000000" w:rsidR="00000000" w:rsidRPr="00000000">
        <w:rPr>
          <w:rtl w:val="0"/>
        </w:rPr>
        <w:t xml:space="preserve">        // ...</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Fonts w:ascii="Nyala" w:cs="Nyala" w:eastAsia="Nyala" w:hAnsi="Nyala"/>
          <w:rtl w:val="0"/>
        </w:rPr>
        <w:t xml:space="preserve">ለበለጠ መረጃ በውሉ ክፍል ውስጥ ስህተቶችን እና የተመለስን መግለጫ ይመልከቱ።</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Nyala" w:cs="Nyala" w:eastAsia="Nyala" w:hAnsi="Nyala"/>
          <w:rtl w:val="0"/>
        </w:rPr>
        <w:t xml:space="preserve">የመዋቅር ዓይነቶች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Nyala" w:cs="Nyala" w:eastAsia="Nyala" w:hAnsi="Nyala"/>
          <w:rtl w:val="0"/>
        </w:rPr>
        <w:t xml:space="preserve">መዋቅሮች ብዙ ተለዋዋጮችን ማቧደን የሚችሉ ብጁ የተገለጹ ዓይነቶች ናቸው (በዓይነት ክፍል ውስጥ ያሉትን መዋቅሮች ይመልከቱ)።</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SPDX-License-Identifier: GPL-3.0</w:t>
      </w:r>
    </w:p>
    <w:p w:rsidR="00000000" w:rsidDel="00000000" w:rsidP="00000000" w:rsidRDefault="00000000" w:rsidRPr="00000000" w14:paraId="0000006C">
      <w:pPr>
        <w:rPr/>
      </w:pPr>
      <w:r w:rsidDel="00000000" w:rsidR="00000000" w:rsidRPr="00000000">
        <w:rPr>
          <w:rtl w:val="0"/>
        </w:rPr>
        <w:t xml:space="preserve">pragma solidity &gt;=0.4.0 &lt;0.9.0;</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contract Ballot {</w:t>
      </w:r>
    </w:p>
    <w:p w:rsidR="00000000" w:rsidDel="00000000" w:rsidP="00000000" w:rsidRDefault="00000000" w:rsidRPr="00000000" w14:paraId="0000006F">
      <w:pPr>
        <w:rPr/>
      </w:pPr>
      <w:r w:rsidDel="00000000" w:rsidR="00000000" w:rsidRPr="00000000">
        <w:rPr>
          <w:rtl w:val="0"/>
        </w:rPr>
        <w:t xml:space="preserve">    struct Voter { // Struct</w:t>
      </w:r>
    </w:p>
    <w:p w:rsidR="00000000" w:rsidDel="00000000" w:rsidP="00000000" w:rsidRDefault="00000000" w:rsidRPr="00000000" w14:paraId="00000070">
      <w:pPr>
        <w:rPr/>
      </w:pPr>
      <w:r w:rsidDel="00000000" w:rsidR="00000000" w:rsidRPr="00000000">
        <w:rPr>
          <w:rtl w:val="0"/>
        </w:rPr>
        <w:t xml:space="preserve">        uint weight;</w:t>
      </w:r>
    </w:p>
    <w:p w:rsidR="00000000" w:rsidDel="00000000" w:rsidP="00000000" w:rsidRDefault="00000000" w:rsidRPr="00000000" w14:paraId="00000071">
      <w:pPr>
        <w:rPr/>
      </w:pPr>
      <w:r w:rsidDel="00000000" w:rsidR="00000000" w:rsidRPr="00000000">
        <w:rPr>
          <w:rtl w:val="0"/>
        </w:rPr>
        <w:t xml:space="preserve">        bool voted;</w:t>
      </w:r>
    </w:p>
    <w:p w:rsidR="00000000" w:rsidDel="00000000" w:rsidP="00000000" w:rsidRDefault="00000000" w:rsidRPr="00000000" w14:paraId="00000072">
      <w:pPr>
        <w:rPr/>
      </w:pPr>
      <w:r w:rsidDel="00000000" w:rsidR="00000000" w:rsidRPr="00000000">
        <w:rPr>
          <w:rtl w:val="0"/>
        </w:rPr>
        <w:t xml:space="preserve">        address delegate;</w:t>
      </w:r>
    </w:p>
    <w:p w:rsidR="00000000" w:rsidDel="00000000" w:rsidP="00000000" w:rsidRDefault="00000000" w:rsidRPr="00000000" w14:paraId="00000073">
      <w:pPr>
        <w:rPr/>
      </w:pPr>
      <w:r w:rsidDel="00000000" w:rsidR="00000000" w:rsidRPr="00000000">
        <w:rPr>
          <w:rtl w:val="0"/>
        </w:rPr>
        <w:t xml:space="preserve">        uint vote;</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Fonts w:ascii="Nyala" w:cs="Nyala" w:eastAsia="Nyala" w:hAnsi="Nyala"/>
          <w:rtl w:val="0"/>
        </w:rPr>
        <w:t xml:space="preserve">ኢነም ዓይነቶች</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Fonts w:ascii="Nyala" w:cs="Nyala" w:eastAsia="Nyala" w:hAnsi="Nyala"/>
          <w:rtl w:val="0"/>
        </w:rPr>
        <w:t xml:space="preserve">ኢነም ውሱን የሆነ 'የቋሚ እሴቶች' ስብስብ ያላቸው ብጁ ዓይነቶችን ለመፍጠር ጥቅም ላይ ሊውል ይችላል (በዓይነት ክፍል ውስጥ ያሉትን ኢነም ይመልከቱ)።</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SPDX-License-Identifier: GPL-3.0</w:t>
      </w:r>
    </w:p>
    <w:p w:rsidR="00000000" w:rsidDel="00000000" w:rsidP="00000000" w:rsidRDefault="00000000" w:rsidRPr="00000000" w14:paraId="0000007C">
      <w:pPr>
        <w:rPr/>
      </w:pPr>
      <w:r w:rsidDel="00000000" w:rsidR="00000000" w:rsidRPr="00000000">
        <w:rPr>
          <w:rtl w:val="0"/>
        </w:rPr>
        <w:t xml:space="preserve">pragma solidity &gt;=0.4.0 &lt;0.9.0;</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contract Purchase {</w:t>
      </w:r>
    </w:p>
    <w:p w:rsidR="00000000" w:rsidDel="00000000" w:rsidP="00000000" w:rsidRDefault="00000000" w:rsidRPr="00000000" w14:paraId="0000007F">
      <w:pPr>
        <w:rPr/>
      </w:pPr>
      <w:r w:rsidDel="00000000" w:rsidR="00000000" w:rsidRPr="00000000">
        <w:rPr>
          <w:rtl w:val="0"/>
        </w:rPr>
        <w:t xml:space="preserve">    enum State { Created, Locked, Inactive } // Enum</w:t>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yal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