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PreHOI-Rank Manuscript Draft Export</w:t>
      </w:r>
    </w:p>
    <w:p>
      <w:pPr>
        <w:spacing w:after="120" w:line="259" w:lineRule="auto"/>
      </w:pPr>
      <w:r>
        <w:rPr>
          <w:rFonts w:ascii="Times New Roman" w:hAnsi="Times New Roman" w:eastAsia="Times New Roman"/>
          <w:sz w:val="22"/>
        </w:rPr>
        <w:t>Status: DRAFT. Not submission-ready until journal formatting, APC/waiver, and HOT3D license/access checks are complete.</w:t>
      </w:r>
    </w:p>
    <w:p>
      <w:pPr>
        <w:pStyle w:val="Heading2"/>
      </w:pPr>
      <w:r>
        <w:t>Title Page</w:t>
      </w:r>
    </w:p>
    <w:p>
      <w:pPr>
        <w:pStyle w:val="Heading1"/>
        <w:jc w:val="center"/>
      </w:pPr>
      <w:r>
        <w:t>Title Page Draft</w:t>
      </w:r>
    </w:p>
    <w:p>
      <w:pPr>
        <w:spacing w:after="120" w:line="259" w:lineRule="auto"/>
      </w:pPr>
      <w:r>
        <w:rPr>
          <w:rFonts w:ascii="Times New Roman" w:hAnsi="Times New Roman" w:eastAsia="Times New Roman"/>
          <w:sz w:val="22"/>
        </w:rPr>
        <w:t>Status: five-author metadata filled. Student co-author consent, CRediT roles, and final author-name spelling are confirmed. Journal-system checks remain pending.</w:t>
      </w:r>
    </w:p>
    <w:p>
      <w:pPr>
        <w:pStyle w:val="Heading2"/>
      </w:pPr>
      <w:r>
        <w:t>Full Title</w:t>
      </w:r>
    </w:p>
    <w:p>
      <w:pPr>
        <w:spacing w:after="120" w:line="259" w:lineRule="auto"/>
      </w:pPr>
      <w:r>
        <w:rPr>
          <w:rFonts w:ascii="Times New Roman" w:hAnsi="Times New Roman" w:eastAsia="Times New Roman"/>
          <w:sz w:val="22"/>
        </w:rPr>
        <w:t>PreHOI-Rank: Affordance-Grounded Candidate Ranking for Pre-Contact 3D Hand-Object Interaction Forecasting</w:t>
      </w:r>
    </w:p>
    <w:p>
      <w:pPr>
        <w:pStyle w:val="Heading2"/>
      </w:pPr>
      <w:r>
        <w:t>Short Title</w:t>
      </w:r>
    </w:p>
    <w:p>
      <w:pPr>
        <w:spacing w:after="120" w:line="259" w:lineRule="auto"/>
      </w:pPr>
      <w:r>
        <w:rPr>
          <w:rFonts w:ascii="Times New Roman" w:hAnsi="Times New Roman" w:eastAsia="Times New Roman"/>
          <w:sz w:val="22"/>
        </w:rPr>
        <w:t>PreHOI-Rank for Pre-Contact Hand-Object Forecasting</w:t>
      </w:r>
    </w:p>
    <w:p>
      <w:pPr>
        <w:pStyle w:val="Heading2"/>
      </w:pPr>
      <w:r>
        <w:t>Authors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Order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Full author name</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Affiliation number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Email</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ORCID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Al Jubair Hossain</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jubair.hossain@aiub.edu</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0009-0005-3498-5826</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2</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ASIF SHAHRIAR SIAM</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3</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MD. ABUBOKOR SIDDIK ROJAN</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4</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Maria Sultana Alif</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5</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Seyam Rahman Nayem</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bl>
    <w:p/>
    <w:p>
      <w:pPr>
        <w:pStyle w:val="Heading2"/>
      </w:pPr>
      <w:r>
        <w:t>Affiliation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80" w:type="dxa"/>
              <w:bottom w:w="80" w:type="dxa"/>
              <w:end w:w="80" w:type="dxa"/>
            </w:tcMar>
            <w:shd w:fill="EDEDED"/>
          </w:tcPr>
          <w:p>
            <w:pPr>
              <w:spacing w:after="0"/>
            </w:pPr>
            <w:r>
              <w:rPr>
                <w:rFonts w:ascii="Times New Roman" w:hAnsi="Times New Roman" w:eastAsia="Times New Roman"/>
                <w:b/>
                <w:sz w:val="18"/>
              </w:rPr>
              <w:t>Number</w:t>
            </w:r>
          </w:p>
        </w:tc>
        <w:tc>
          <w:tcPr>
            <w:tcW w:type="dxa" w:w="3120"/>
            <w:vAlign w:val="center"/>
            <w:tcMar>
              <w:top w:w="80" w:type="dxa"/>
              <w:start w:w="80" w:type="dxa"/>
              <w:bottom w:w="80" w:type="dxa"/>
              <w:end w:w="80" w:type="dxa"/>
            </w:tcMar>
            <w:shd w:fill="EDEDED"/>
          </w:tcPr>
          <w:p>
            <w:pPr>
              <w:spacing w:after="0"/>
            </w:pPr>
            <w:r>
              <w:rPr>
                <w:rFonts w:ascii="Times New Roman" w:hAnsi="Times New Roman" w:eastAsia="Times New Roman"/>
                <w:b/>
                <w:sz w:val="18"/>
              </w:rPr>
              <w:t>Institution</w:t>
            </w:r>
          </w:p>
        </w:tc>
        <w:tc>
          <w:tcPr>
            <w:tcW w:type="dxa" w:w="3120"/>
            <w:vAlign w:val="center"/>
            <w:tcMar>
              <w:top w:w="80" w:type="dxa"/>
              <w:start w:w="80" w:type="dxa"/>
              <w:bottom w:w="80" w:type="dxa"/>
              <w:end w:w="80" w:type="dxa"/>
            </w:tcMar>
            <w:shd w:fill="EDEDED"/>
          </w:tcPr>
          <w:p>
            <w:pPr>
              <w:spacing w:after="0"/>
            </w:pPr>
            <w:r>
              <w:rPr>
                <w:rFonts w:ascii="Times New Roman" w:hAnsi="Times New Roman" w:eastAsia="Times New Roman"/>
                <w:b/>
                <w:sz w:val="18"/>
              </w:rPr>
              <w:t>Address</w:t>
            </w:r>
          </w:p>
        </w:tc>
      </w:tr>
      <w:tr>
        <w:tc>
          <w:tcPr>
            <w:tcW w:type="dxa" w:w="3120"/>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3120"/>
            <w:vAlign w:val="center"/>
            <w:tcMar>
              <w:top w:w="80" w:type="dxa"/>
              <w:start w:w="80" w:type="dxa"/>
              <w:bottom w:w="80" w:type="dxa"/>
              <w:end w:w="80" w:type="dxa"/>
            </w:tcMar>
          </w:tcPr>
          <w:p>
            <w:pPr>
              <w:spacing w:after="0"/>
            </w:pPr>
            <w:r>
              <w:rPr>
                <w:rFonts w:ascii="Times New Roman" w:hAnsi="Times New Roman" w:eastAsia="Times New Roman"/>
                <w:b w:val="0"/>
                <w:sz w:val="18"/>
              </w:rPr>
              <w:t>American International University-Bangladesh (AIUB)</w:t>
            </w:r>
          </w:p>
        </w:tc>
        <w:tc>
          <w:tcPr>
            <w:tcW w:type="dxa" w:w="3120"/>
            <w:vAlign w:val="center"/>
            <w:tcMar>
              <w:top w:w="80" w:type="dxa"/>
              <w:start w:w="80" w:type="dxa"/>
              <w:bottom w:w="80" w:type="dxa"/>
              <w:end w:w="80" w:type="dxa"/>
            </w:tcMar>
          </w:tcPr>
          <w:p>
            <w:pPr>
              <w:spacing w:after="0"/>
            </w:pPr>
            <w:r>
              <w:rPr>
                <w:rFonts w:ascii="Times New Roman" w:hAnsi="Times New Roman" w:eastAsia="Times New Roman"/>
                <w:b w:val="0"/>
                <w:sz w:val="18"/>
              </w:rPr>
              <w:t>Kuratoli, Khilkhet, Dhaka 1229, Bangladesh</w:t>
            </w:r>
          </w:p>
        </w:tc>
      </w:tr>
    </w:tbl>
    <w:p/>
    <w:p>
      <w:pPr>
        <w:pStyle w:val="Heading2"/>
      </w:pPr>
      <w:r>
        <w:t>Corresponding Author</w:t>
      </w:r>
    </w:p>
    <w:p>
      <w:pPr>
        <w:pStyle w:val="ListBullet"/>
      </w:pPr>
      <w:r>
        <w:rPr>
          <w:rFonts w:ascii="Times New Roman" w:hAnsi="Times New Roman" w:eastAsia="Times New Roman"/>
          <w:sz w:val="22"/>
        </w:rPr>
        <w:t>Name: Al Jubair Hossain</w:t>
      </w:r>
    </w:p>
    <w:p>
      <w:pPr>
        <w:pStyle w:val="ListBullet"/>
      </w:pPr>
      <w:r>
        <w:rPr>
          <w:rFonts w:ascii="Times New Roman" w:hAnsi="Times New Roman" w:eastAsia="Times New Roman"/>
          <w:sz w:val="22"/>
        </w:rPr>
        <w:t>Email: jubair.hossain@aiub.edu</w:t>
      </w:r>
    </w:p>
    <w:p>
      <w:pPr>
        <w:pStyle w:val="ListBullet"/>
      </w:pPr>
      <w:r>
        <w:rPr>
          <w:rFonts w:ascii="Times New Roman" w:hAnsi="Times New Roman" w:eastAsia="Times New Roman"/>
          <w:sz w:val="22"/>
        </w:rPr>
        <w:t>Affiliation: American International University-Bangladesh (AIUB)</w:t>
      </w:r>
    </w:p>
    <w:p>
      <w:pPr>
        <w:pStyle w:val="ListBullet"/>
      </w:pPr>
      <w:r>
        <w:rPr>
          <w:rFonts w:ascii="Times New Roman" w:hAnsi="Times New Roman" w:eastAsia="Times New Roman"/>
          <w:sz w:val="22"/>
        </w:rPr>
        <w:t>Address: Kuratoli, Khilkhet, Dhaka 1229, Bangladesh</w:t>
      </w:r>
    </w:p>
    <w:p>
      <w:pPr>
        <w:pStyle w:val="Heading2"/>
      </w:pPr>
      <w:r>
        <w:t>CRediT Author Contributions</w:t>
      </w:r>
    </w:p>
    <w:p>
      <w:pPr>
        <w:spacing w:after="120" w:line="259" w:lineRule="auto"/>
      </w:pPr>
      <w:r>
        <w:rPr>
          <w:rFonts w:ascii="Times New Roman" w:hAnsi="Times New Roman" w:eastAsia="Times New Roman"/>
          <w:sz w:val="22"/>
        </w:rPr>
        <w:t>Student co-author contribution roles have been confirmed from the provided consent responses.</w:t>
      </w:r>
    </w:p>
    <w:p>
      <w:pPr>
        <w:pStyle w:val="ListBullet"/>
      </w:pPr>
      <w:r>
        <w:rPr>
          <w:rFonts w:ascii="Times New Roman" w:hAnsi="Times New Roman" w:eastAsia="Times New Roman"/>
          <w:sz w:val="22"/>
        </w:rPr>
        <w:t>Al Jubair Hossain: Conceptualization, Methodology, Software, Validation,</w:t>
      </w:r>
    </w:p>
    <w:p>
      <w:pPr>
        <w:spacing w:after="120" w:line="259" w:lineRule="auto"/>
      </w:pPr>
      <w:r>
        <w:rPr>
          <w:rFonts w:ascii="Times New Roman" w:hAnsi="Times New Roman" w:eastAsia="Times New Roman"/>
          <w:sz w:val="22"/>
        </w:rPr>
        <w:t>Formal analysis, Investigation, Data curation, Writing - original draft, Writing - review and editing, Visualization, Project administration, Supervision.</w:t>
      </w:r>
    </w:p>
    <w:p>
      <w:pPr>
        <w:pStyle w:val="ListBullet"/>
      </w:pPr>
      <w:r>
        <w:rPr>
          <w:rFonts w:ascii="Times New Roman" w:hAnsi="Times New Roman" w:eastAsia="Times New Roman"/>
          <w:sz w:val="22"/>
        </w:rPr>
        <w:t>ASIF SHAHRIAR SIAM: Investigation, Data curation, Validation, Visualization,</w:t>
      </w:r>
    </w:p>
    <w:p>
      <w:pPr>
        <w:spacing w:after="120" w:line="259" w:lineRule="auto"/>
      </w:pPr>
      <w:r>
        <w:rPr>
          <w:rFonts w:ascii="Times New Roman" w:hAnsi="Times New Roman" w:eastAsia="Times New Roman"/>
          <w:sz w:val="22"/>
        </w:rPr>
        <w:t>Writing - review and editing.</w:t>
      </w:r>
    </w:p>
    <w:p>
      <w:pPr>
        <w:pStyle w:val="ListBullet"/>
      </w:pPr>
      <w:r>
        <w:rPr>
          <w:rFonts w:ascii="Times New Roman" w:hAnsi="Times New Roman" w:eastAsia="Times New Roman"/>
          <w:sz w:val="22"/>
        </w:rPr>
        <w:t>MD. ABUBOKOR SIDDIK ROJAN: Software support, Validation, Formal analysis</w:t>
      </w:r>
    </w:p>
    <w:p>
      <w:pPr>
        <w:spacing w:after="120" w:line="259" w:lineRule="auto"/>
      </w:pPr>
      <w:r>
        <w:rPr>
          <w:rFonts w:ascii="Times New Roman" w:hAnsi="Times New Roman" w:eastAsia="Times New Roman"/>
          <w:sz w:val="22"/>
        </w:rPr>
        <w:t>support, Data curation, Writing - review and editing.</w:t>
      </w:r>
    </w:p>
    <w:p>
      <w:pPr>
        <w:pStyle w:val="ListBullet"/>
      </w:pPr>
      <w:r>
        <w:rPr>
          <w:rFonts w:ascii="Times New Roman" w:hAnsi="Times New Roman" w:eastAsia="Times New Roman"/>
          <w:sz w:val="22"/>
        </w:rPr>
        <w:t>Maria Sultana Alif: Literature review support, Data curation, Investigation,</w:t>
      </w:r>
    </w:p>
    <w:p>
      <w:pPr>
        <w:spacing w:after="120" w:line="259" w:lineRule="auto"/>
      </w:pPr>
      <w:r>
        <w:rPr>
          <w:rFonts w:ascii="Times New Roman" w:hAnsi="Times New Roman" w:eastAsia="Times New Roman"/>
          <w:sz w:val="22"/>
        </w:rPr>
        <w:t>Visualization support, Writing - review and editing.</w:t>
      </w:r>
    </w:p>
    <w:p>
      <w:pPr>
        <w:pStyle w:val="ListBullet"/>
      </w:pPr>
      <w:r>
        <w:rPr>
          <w:rFonts w:ascii="Times New Roman" w:hAnsi="Times New Roman" w:eastAsia="Times New Roman"/>
          <w:sz w:val="22"/>
        </w:rPr>
        <w:t>Seyam Rahman Nayem: Dataset preparation support, Reproducibility checks,</w:t>
      </w:r>
    </w:p>
    <w:p>
      <w:pPr>
        <w:spacing w:after="120" w:line="259" w:lineRule="auto"/>
      </w:pPr>
      <w:r>
        <w:rPr>
          <w:rFonts w:ascii="Times New Roman" w:hAnsi="Times New Roman" w:eastAsia="Times New Roman"/>
          <w:sz w:val="22"/>
        </w:rPr>
        <w:t>Validation, Documentation support, Writing - review and editing.</w:t>
      </w:r>
    </w:p>
    <w:p>
      <w:pPr>
        <w:pStyle w:val="Heading2"/>
      </w:pPr>
      <w:r>
        <w:t>Declarations Checklist</w:t>
      </w:r>
    </w:p>
    <w:p>
      <w:pPr>
        <w:pStyle w:val="ListBullet"/>
      </w:pPr>
      <w:r>
        <w:rPr>
          <w:rFonts w:ascii="Times New Roman" w:hAnsi="Times New Roman" w:eastAsia="Times New Roman"/>
          <w:sz w:val="22"/>
        </w:rPr>
        <w:t>[x] Conflict of interest statement filled: no competing interests.</w:t>
      </w:r>
    </w:p>
    <w:p>
      <w:pPr>
        <w:pStyle w:val="ListBullet"/>
      </w:pPr>
      <w:r>
        <w:rPr>
          <w:rFonts w:ascii="Times New Roman" w:hAnsi="Times New Roman" w:eastAsia="Times New Roman"/>
          <w:sz w:val="22"/>
        </w:rPr>
        <w:t>[x] Funding statement filled: no specific funding.</w:t>
      </w:r>
    </w:p>
    <w:p>
      <w:pPr>
        <w:pStyle w:val="ListBullet"/>
      </w:pPr>
      <w:r>
        <w:rPr>
          <w:rFonts w:ascii="Times New Roman" w:hAnsi="Times New Roman" w:eastAsia="Times New Roman"/>
          <w:sz w:val="22"/>
        </w:rPr>
        <w:t>[x] Acknowledgments filled: no additional acknowledgments provided.</w:t>
      </w:r>
    </w:p>
    <w:p>
      <w:pPr>
        <w:pStyle w:val="ListBullet"/>
      </w:pPr>
      <w:r>
        <w:rPr>
          <w:rFonts w:ascii="Times New Roman" w:hAnsi="Times New Roman" w:eastAsia="Times New Roman"/>
          <w:sz w:val="22"/>
        </w:rPr>
        <w:t>[x] Student co-author consent received.</w:t>
      </w:r>
    </w:p>
    <w:p>
      <w:pPr>
        <w:pStyle w:val="ListBullet"/>
      </w:pPr>
      <w:r>
        <w:rPr>
          <w:rFonts w:ascii="Times New Roman" w:hAnsi="Times New Roman" w:eastAsia="Times New Roman"/>
          <w:sz w:val="22"/>
        </w:rPr>
        <w:t>[x] Student co-author CRediT roles confirmed.</w:t>
      </w:r>
    </w:p>
    <w:p>
      <w:pPr>
        <w:pStyle w:val="ListBullet"/>
      </w:pPr>
      <w:r>
        <w:rPr>
          <w:rFonts w:ascii="Times New Roman" w:hAnsi="Times New Roman" w:eastAsia="Times New Roman"/>
          <w:sz w:val="22"/>
        </w:rPr>
        <w:t>[x] Final author-name spelling confirmed.</w:t>
      </w:r>
    </w:p>
    <w:p>
      <w:pPr>
        <w:pStyle w:val="ListBullet"/>
      </w:pPr>
      <w:r>
        <w:rPr>
          <w:rFonts w:ascii="Times New Roman" w:hAnsi="Times New Roman" w:eastAsia="Times New Roman"/>
          <w:sz w:val="22"/>
        </w:rPr>
        <w:t>[x] Data/code availability statement includes repository URL and Zenodo DOI.</w:t>
      </w:r>
    </w:p>
    <w:p>
      <w:pPr>
        <w:pStyle w:val="ListBullet"/>
      </w:pPr>
      <w:r>
        <w:rPr>
          <w:rFonts w:ascii="Times New Roman" w:hAnsi="Times New Roman" w:eastAsia="Times New Roman"/>
          <w:sz w:val="22"/>
        </w:rPr>
        <w:t>[ ] HOT3D-Clips license/access wording final confirmation pending.</w:t>
      </w:r>
    </w:p>
    <w:p>
      <w:pPr>
        <w:pStyle w:val="ListBullet"/>
      </w:pPr>
      <w:r>
        <w:rPr>
          <w:rFonts w:ascii="Times New Roman" w:hAnsi="Times New Roman" w:eastAsia="Times New Roman"/>
          <w:sz w:val="22"/>
        </w:rPr>
        <w:t>[ ] Machine Learning with Applications APC/waiver/Research4Life route checked</w:t>
      </w:r>
    </w:p>
    <w:p>
      <w:pPr>
        <w:spacing w:after="120" w:line="259" w:lineRule="auto"/>
      </w:pPr>
      <w:r>
        <w:rPr>
          <w:rFonts w:ascii="Times New Roman" w:hAnsi="Times New Roman" w:eastAsia="Times New Roman"/>
          <w:sz w:val="22"/>
        </w:rPr>
        <w:t>using filled AIUB/Bangladesh affiliation.</w:t>
      </w:r>
    </w:p>
    <w:p>
      <w:pPr>
        <w:pStyle w:val="ListBullet"/>
      </w:pPr>
      <w:r>
        <w:rPr>
          <w:rFonts w:ascii="Times New Roman" w:hAnsi="Times New Roman" w:eastAsia="Times New Roman"/>
          <w:sz w:val="22"/>
        </w:rPr>
        <w:t>[x] Corresponding author details added.</w:t>
      </w:r>
    </w:p>
    <w:p>
      <w:r>
        <w:br w:type="page"/>
      </w:r>
    </w:p>
    <w:p>
      <w:pPr>
        <w:pStyle w:val="Heading2"/>
      </w:pPr>
      <w:r>
        <w:t>Main Manuscript</w:t>
      </w:r>
    </w:p>
    <w:p>
      <w:pPr>
        <w:pStyle w:val="Heading1"/>
        <w:jc w:val="left"/>
      </w:pPr>
      <w:r>
        <w:t>PreHOI-Rank: Affordance-Grounded Candidate Ranking for Pre-Contact 3D Hand-Object Interaction Forecasting</w:t>
      </w:r>
    </w:p>
    <w:p>
      <w:pPr>
        <w:pStyle w:val="Heading2"/>
      </w:pPr>
      <w:r>
        <w:t>Author Information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Order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Author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Affiliation(s)</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Email</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ORCID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Al Jubair Hossain</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jubair.hossain@aiub.edu</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0009-0005-3498-5826</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2</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ASIF SHAHRIAR SIAM</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3</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MD. ABUBOKOR SIDDIK ROJAN</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4</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Maria Sultana Alif</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5</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Seyam Rahman Nayem</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On file internally</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provided</w:t>
            </w:r>
          </w:p>
        </w:tc>
      </w:tr>
    </w:tbl>
    <w:p/>
    <w:p>
      <w:pPr>
        <w:spacing w:after="120" w:line="259" w:lineRule="auto"/>
      </w:pPr>
      <w:r>
        <w:rPr>
          <w:rFonts w:ascii="Times New Roman" w:hAnsi="Times New Roman" w:eastAsia="Times New Roman"/>
          <w:sz w:val="22"/>
        </w:rPr>
        <w:t>Affiliations:</w:t>
      </w:r>
    </w:p>
    <w:p>
      <w:pPr>
        <w:pStyle w:val="ListBullet"/>
      </w:pPr>
      <w:r>
        <w:rPr>
          <w:rFonts w:ascii="Times New Roman" w:hAnsi="Times New Roman" w:eastAsia="Times New Roman"/>
          <w:sz w:val="22"/>
        </w:rPr>
        <w:t>[1] American International University-Bangladesh (AIUB), Kuratoli, Khilkhet, Dhaka 1229, Bangladesh</w:t>
      </w:r>
    </w:p>
    <w:p>
      <w:pPr>
        <w:pStyle w:val="Heading2"/>
      </w:pPr>
      <w:r>
        <w:t>Corresponding Author</w:t>
      </w:r>
    </w:p>
    <w:p>
      <w:pPr>
        <w:pStyle w:val="ListBullet"/>
      </w:pPr>
      <w:r>
        <w:rPr>
          <w:rFonts w:ascii="Times New Roman" w:hAnsi="Times New Roman" w:eastAsia="Times New Roman"/>
          <w:sz w:val="22"/>
        </w:rPr>
        <w:t>Name: Al Jubair Hossain</w:t>
      </w:r>
    </w:p>
    <w:p>
      <w:pPr>
        <w:pStyle w:val="ListBullet"/>
      </w:pPr>
      <w:r>
        <w:rPr>
          <w:rFonts w:ascii="Times New Roman" w:hAnsi="Times New Roman" w:eastAsia="Times New Roman"/>
          <w:sz w:val="22"/>
        </w:rPr>
        <w:t>Email: jubair.hossain@aiub.edu</w:t>
      </w:r>
    </w:p>
    <w:p>
      <w:pPr>
        <w:pStyle w:val="ListBullet"/>
      </w:pPr>
      <w:r>
        <w:rPr>
          <w:rFonts w:ascii="Times New Roman" w:hAnsi="Times New Roman" w:eastAsia="Times New Roman"/>
          <w:sz w:val="22"/>
        </w:rPr>
        <w:t>Affiliation: American International University-Bangladesh (AIUB)</w:t>
      </w:r>
    </w:p>
    <w:p>
      <w:pPr>
        <w:pStyle w:val="Heading2"/>
      </w:pPr>
      <w:r>
        <w:t>Abstract</w:t>
      </w:r>
    </w:p>
    <w:p>
      <w:pPr>
        <w:spacing w:after="120" w:line="259" w:lineRule="auto"/>
      </w:pPr>
      <w:r>
        <w:rPr>
          <w:rFonts w:ascii="Times New Roman" w:hAnsi="Times New Roman" w:eastAsia="Times New Roman"/>
          <w:sz w:val="22"/>
        </w:rPr>
        <w:t>Pre-contact hand-object forecasting asks whether an egocentric perception system can infer the likely object of a future hand interaction before contact occurs. The problem is relevant to assistive augmented reality, wearable interfaces, and robotic systems that must reason from partial observations of human intent. We present PreHOI-Rank, a leakage-safe candidate-ranking formulation for pre-contact 3D hand-object interaction forecasting. Rather than predicting a target from a global closed-set vocabulary, PreHOI-Rank scores the visible object candidates in an observation window and jointly predicts a future hand-pose representation. We construct derived affordance-grounded target-object proxy labels from HOT3D-Clips [@hot3d2025], [@hot3dclips2026] using forecast-frame hand-object proximity, while preventing forecast-frame images, annotations, candidate scores, and metadata from entering the model input. Stable candidate ordering is enforced to avoid candidate-position leakage. On a local 50-clip HOT3D-Clips subset with clip-level splits, the order-safe non-vision-language candidate ranker achieves five-seed paper-candidate diagnostics of 0.7499 +/- 0.0450 Top-1 candidate accuracy, 0.9699 +/- 0.0161 Top-3 candidate accuracy, 0.8605 +/- 0.0221 MRR, and 0.4102 +/- 0.0051 future pose-vector MAE. These results support candidate ranking as a practical formulation for pre-contact target forecasting under derived labels, while leaving important limitations around the local 50-clip subset, residual class imbalance, proxy-label assumptions, and pose-vector rather than MPJPE-style evaluation.</w:t>
      </w:r>
    </w:p>
    <w:p>
      <w:pPr>
        <w:pStyle w:val="Heading2"/>
      </w:pPr>
      <w:r>
        <w:t>Keywords</w:t>
      </w:r>
    </w:p>
    <w:p>
      <w:pPr>
        <w:spacing w:after="120" w:line="259" w:lineRule="auto"/>
      </w:pPr>
      <w:r>
        <w:rPr>
          <w:rFonts w:ascii="Times New Roman" w:hAnsi="Times New Roman" w:eastAsia="Times New Roman"/>
          <w:sz w:val="22"/>
        </w:rPr>
        <w:t>Egocentric video; hand-object interaction; pre-contact forecasting; candidate ranking; HOT3D-Clips; affordance proxy labels; leakage prevention; 3D hand pose.</w:t>
      </w:r>
    </w:p>
    <w:p>
      <w:pPr>
        <w:pStyle w:val="Heading2"/>
      </w:pPr>
      <w:r>
        <w:t>Highlights</w:t>
      </w:r>
    </w:p>
    <w:p>
      <w:pPr>
        <w:pStyle w:val="ListBullet"/>
      </w:pPr>
      <w:r>
        <w:rPr>
          <w:rFonts w:ascii="Times New Roman" w:hAnsi="Times New Roman" w:eastAsia="Times New Roman"/>
          <w:sz w:val="22"/>
        </w:rPr>
        <w:t>PreHOI-Rank frames pre-contact hand-object forecasting as candidate-level ranking over visible objects.</w:t>
      </w:r>
    </w:p>
    <w:p>
      <w:pPr>
        <w:pStyle w:val="ListBullet"/>
      </w:pPr>
      <w:r>
        <w:rPr>
          <w:rFonts w:ascii="Times New Roman" w:hAnsi="Times New Roman" w:eastAsia="Times New Roman"/>
          <w:sz w:val="22"/>
        </w:rPr>
        <w:t>Derived affordance-grounded proxy labels are constructed from forecast-frame hand-object proximity while forecast-frame features are excluded from model inputs.</w:t>
      </w:r>
    </w:p>
    <w:p>
      <w:pPr>
        <w:pStyle w:val="ListBullet"/>
      </w:pPr>
      <w:r>
        <w:rPr>
          <w:rFonts w:ascii="Times New Roman" w:hAnsi="Times New Roman" w:eastAsia="Times New Roman"/>
          <w:sz w:val="22"/>
        </w:rPr>
        <w:t>The evaluation protocol uses clip-level splits, stable candidate ordering, and position baselines to reduce temporal and candidate-order leakage.</w:t>
      </w:r>
    </w:p>
    <w:p>
      <w:pPr>
        <w:pStyle w:val="ListBullet"/>
      </w:pPr>
      <w:r>
        <w:rPr>
          <w:rFonts w:ascii="Times New Roman" w:hAnsi="Times New Roman" w:eastAsia="Times New Roman"/>
          <w:sz w:val="22"/>
        </w:rPr>
        <w:t>The 50-clip HOT3D-Clips local subset is used as the primary controlled result, with a 75-clip expansion reported as a robustness/scalability check.</w:t>
      </w:r>
    </w:p>
    <w:p>
      <w:pPr>
        <w:pStyle w:val="ListBullet"/>
      </w:pPr>
      <w:r>
        <w:rPr>
          <w:rFonts w:ascii="Times New Roman" w:hAnsi="Times New Roman" w:eastAsia="Times New Roman"/>
          <w:sz w:val="22"/>
        </w:rPr>
        <w:t>Pose metrics are reported as MANO/UmeTrack pose-parameter vector MAE/MSE; MPJPE is not reported.</w:t>
      </w:r>
    </w:p>
    <w:p>
      <w:pPr>
        <w:pStyle w:val="Heading2"/>
      </w:pPr>
      <w:r>
        <w:t>1. Introduction</w:t>
      </w:r>
    </w:p>
    <w:p>
      <w:pPr>
        <w:spacing w:after="120" w:line="259" w:lineRule="auto"/>
      </w:pPr>
      <w:r>
        <w:rPr>
          <w:rFonts w:ascii="Times New Roman" w:hAnsi="Times New Roman" w:eastAsia="Times New Roman"/>
          <w:sz w:val="22"/>
        </w:rPr>
        <w:t>Before contact occurs, human object interactions are often foreshadowed by hand motion, the body-centered viewpoint, and the changing spatial relation between hands and nearby objects. Anticipating this interaction can help egocentric systems act earlier: an assistive AR interface may prepare object-specific guidance, a robot may infer a user's likely target, and a wearable perception system may forecast hand-object contact before it is visually obvious.</w:t>
      </w:r>
    </w:p>
    <w:p>
      <w:pPr>
        <w:spacing w:after="120" w:line="259" w:lineRule="auto"/>
      </w:pPr>
      <w:r>
        <w:rPr>
          <w:rFonts w:ascii="Times New Roman" w:hAnsi="Times New Roman" w:eastAsia="Times New Roman"/>
          <w:sz w:val="22"/>
        </w:rPr>
        <w:t>This paper focuses on pre-contact target-object forecasting in egocentric video. The goal is to use an observation window before contact to infer which visible object candidate is most likely to become the future hand-object target, while also predicting a future hand-pose representation. Figure 1 summarizes this problem setting.</w:t>
      </w:r>
    </w:p>
    <w:p>
      <w:pPr>
        <w:spacing w:after="120" w:line="259" w:lineRule="auto"/>
      </w:pPr>
      <w:r>
        <w:rPr>
          <w:rFonts w:ascii="Times New Roman" w:hAnsi="Times New Roman" w:eastAsia="Times New Roman"/>
          <w:sz w:val="22"/>
        </w:rPr>
        <w:t>[Figure 1 here: paper/figures/fig1_problem_overview.png; PDF version: paper/figures/fig1_problem_overview.pdf.]</w:t>
      </w:r>
    </w:p>
    <w:p>
      <w:pPr>
        <w:spacing w:after="120" w:line="259" w:lineRule="auto"/>
      </w:pPr>
      <w:r>
        <w:rPr>
          <w:rFonts w:ascii="Times New Roman" w:hAnsi="Times New Roman" w:eastAsia="Times New Roman"/>
          <w:sz w:val="22"/>
        </w:rPr>
        <w:t>A direct approach would cast the task as global object classification. Although convenient, that framing is not always well matched to egocentric interaction. In many frames, the practical question is not "which object class in the dataset is present?" but "which currently visible object will the hand approach?" Global classification can also make evaluation sensitive to local class coverage and can hide candidate-order or temporal leakage effects.</w:t>
      </w:r>
    </w:p>
    <w:p>
      <w:pPr>
        <w:spacing w:after="120" w:line="259" w:lineRule="auto"/>
      </w:pPr>
      <w:r>
        <w:rPr>
          <w:rFonts w:ascii="Times New Roman" w:hAnsi="Times New Roman" w:eastAsia="Times New Roman"/>
          <w:sz w:val="22"/>
        </w:rPr>
        <w:t>We therefore propose PreHOI-Rank: a candidate-level formulation that ranks the visible object candidates in each observation window. The current strongest model is intentionally simple. It uses observation-window hand/object metadata and object candidate features, excludes forecast-frame inputs, sorts candidates with stable identifiers, and trains with a candidate-ranking objective plus future pose-vector regression. More complex vision-language and transformer variants are retained as exploratory ablations, but they are not the main claim because they have not yet outperformed the order-safe non-vision-language ranker under repeated-seed evaluation.</w:t>
      </w:r>
    </w:p>
    <w:p>
      <w:pPr>
        <w:spacing w:after="120" w:line="259" w:lineRule="auto"/>
      </w:pPr>
      <w:r>
        <w:rPr>
          <w:rFonts w:ascii="Times New Roman" w:hAnsi="Times New Roman" w:eastAsia="Times New Roman"/>
          <w:sz w:val="22"/>
        </w:rPr>
        <w:t>This paper makes four contributions:</w:t>
      </w:r>
    </w:p>
    <w:p>
      <w:pPr>
        <w:pStyle w:val="ListNumber"/>
      </w:pPr>
      <w:r>
        <w:rPr>
          <w:rFonts w:ascii="Times New Roman" w:hAnsi="Times New Roman" w:eastAsia="Times New Roman"/>
          <w:sz w:val="22"/>
        </w:rPr>
        <w:t>We formulate pre-contact target-object forecasting as ranking visible object</w:t>
      </w:r>
    </w:p>
    <w:p>
      <w:pPr>
        <w:spacing w:after="120" w:line="259" w:lineRule="auto"/>
      </w:pPr>
      <w:r>
        <w:rPr>
          <w:rFonts w:ascii="Times New Roman" w:hAnsi="Times New Roman" w:eastAsia="Times New Roman"/>
          <w:sz w:val="22"/>
        </w:rPr>
        <w:t>candidates rather than closed-set global classification.</w:t>
      </w:r>
    </w:p>
    <w:p>
      <w:pPr>
        <w:pStyle w:val="ListNumber"/>
      </w:pPr>
      <w:r>
        <w:rPr>
          <w:rFonts w:ascii="Times New Roman" w:hAnsi="Times New Roman" w:eastAsia="Times New Roman"/>
          <w:sz w:val="22"/>
        </w:rPr>
        <w:t>We define a reproducible derived target-object proxy from forecast-frame</w:t>
      </w:r>
    </w:p>
    <w:p>
      <w:pPr>
        <w:spacing w:after="120" w:line="259" w:lineRule="auto"/>
      </w:pPr>
      <w:r>
        <w:rPr>
          <w:rFonts w:ascii="Times New Roman" w:hAnsi="Times New Roman" w:eastAsia="Times New Roman"/>
          <w:sz w:val="22"/>
        </w:rPr>
        <w:t>hand-object proximity and clearly distinguish it from human contact or action annotations.</w:t>
      </w:r>
    </w:p>
    <w:p>
      <w:pPr>
        <w:pStyle w:val="ListNumber"/>
      </w:pPr>
      <w:r>
        <w:rPr>
          <w:rFonts w:ascii="Times New Roman" w:hAnsi="Times New Roman" w:eastAsia="Times New Roman"/>
          <w:sz w:val="22"/>
        </w:rPr>
        <w:t>We introduce a leakage- and order-bias-safe evaluation protocol with</w:t>
      </w:r>
    </w:p>
    <w:p>
      <w:pPr>
        <w:spacing w:after="120" w:line="259" w:lineRule="auto"/>
      </w:pPr>
      <w:r>
        <w:rPr>
          <w:rFonts w:ascii="Times New Roman" w:hAnsi="Times New Roman" w:eastAsia="Times New Roman"/>
          <w:sz w:val="22"/>
        </w:rPr>
        <w:t>observation-frame-only inputs, clip-level splitting, stable candidate ordering, and position-only baselines.</w:t>
      </w:r>
    </w:p>
    <w:p>
      <w:pPr>
        <w:pStyle w:val="ListNumber"/>
      </w:pPr>
      <w:r>
        <w:rPr>
          <w:rFonts w:ascii="Times New Roman" w:hAnsi="Times New Roman" w:eastAsia="Times New Roman"/>
          <w:sz w:val="22"/>
        </w:rPr>
        <w:t>We provide five-seed paper-candidate diagnostics on a 50-clip local</w:t>
      </w:r>
    </w:p>
    <w:p>
      <w:pPr>
        <w:spacing w:after="120" w:line="259" w:lineRule="auto"/>
      </w:pPr>
      <w:r>
        <w:rPr>
          <w:rFonts w:ascii="Times New Roman" w:hAnsi="Times New Roman" w:eastAsia="Times New Roman"/>
          <w:sz w:val="22"/>
        </w:rPr>
        <w:t>HOT3D-Clips subset, showing that the order-safe candidate ranker is stronger than candidate-position baselines and improves over the earlier 25-clip pilot.</w:t>
      </w:r>
    </w:p>
    <w:p>
      <w:pPr>
        <w:spacing w:after="120" w:line="259" w:lineRule="auto"/>
      </w:pPr>
      <w:r>
        <w:rPr>
          <w:rFonts w:ascii="Times New Roman" w:hAnsi="Times New Roman" w:eastAsia="Times New Roman"/>
          <w:sz w:val="22"/>
        </w:rPr>
        <w:t>The manuscript is therefore framed as a reproducible method and evaluation protocol for pre-contact candidate ranking with derived affordance-grounded proxy labels, not as a benchmark-superiority claim.</w:t>
      </w:r>
    </w:p>
    <w:p>
      <w:pPr>
        <w:pStyle w:val="Heading2"/>
      </w:pPr>
      <w:r>
        <w:t>2. Related Work</w:t>
      </w:r>
    </w:p>
    <w:p>
      <w:pPr>
        <w:spacing w:after="120" w:line="259" w:lineRule="auto"/>
      </w:pPr>
      <w:r>
        <w:rPr>
          <w:rFonts w:ascii="Times New Roman" w:hAnsi="Times New Roman" w:eastAsia="Times New Roman"/>
          <w:sz w:val="22"/>
        </w:rPr>
        <w:t>Research on 3D hand-object interaction has produced increasingly rich datasets for hand pose, object pose, and hand-object state estimation. HO-3D and HOnnotate support 3D hand-object pose estimation in object-interaction scenes [@ho3d2020], while DexYCB provides multi-view RGB-D data for hand-object grasping and pose estimation [@dexycb2021]. HOT3D extends this line of work to egocentric multi-view video with 3D hand/object tracking, object models, and multiple annotation streams [@hot3d2025]. The present work builds on HOT3D-Clips [@hot3dclips2026], while using only a local 50-clip subset and without redistributing the dataset.</w:t>
      </w:r>
    </w:p>
    <w:p>
      <w:pPr>
        <w:spacing w:after="120" w:line="259" w:lineRule="auto"/>
      </w:pPr>
      <w:r>
        <w:rPr>
          <w:rFonts w:ascii="Times New Roman" w:hAnsi="Times New Roman" w:eastAsia="Times New Roman"/>
          <w:sz w:val="22"/>
        </w:rPr>
        <w:t>Hand-pose representations are also central to this work. MANO provides a widely used parametric hand model [@mano2017], and HOT3D includes hand annotations compatible with MANO/UmeTrack-style representations [@umetrack2022]. The current experiments regress future pose vectors directly. They do not yet convert the pose representation to 3D joints for MPJPE-style evaluation, which remains an important future improvement.</w:t>
      </w:r>
    </w:p>
    <w:p>
      <w:pPr>
        <w:spacing w:after="120" w:line="259" w:lineRule="auto"/>
      </w:pPr>
      <w:r>
        <w:rPr>
          <w:rFonts w:ascii="Times New Roman" w:hAnsi="Times New Roman" w:eastAsia="Times New Roman"/>
          <w:sz w:val="22"/>
        </w:rPr>
        <w:t>Egocentric interaction datasets and action-anticipation benchmarks motivate the pre-contact setting. First-person action and hand-action datasets such as FPHA [@fpha2018], EPIC-KITCHENS [@epickitchens2020], and AssemblyHands [@assemblyhands2023] show the value of modeling hands, objects, and temporal context in first-person video. Our focus is narrower: we rank visible object candidates before contact, using derived proxy labels when direct target-object/contact annotations are unavailable.</w:t>
      </w:r>
    </w:p>
    <w:p>
      <w:pPr>
        <w:spacing w:after="120" w:line="259" w:lineRule="auto"/>
      </w:pPr>
      <w:r>
        <w:rPr>
          <w:rFonts w:ascii="Times New Roman" w:hAnsi="Times New Roman" w:eastAsia="Times New Roman"/>
          <w:sz w:val="22"/>
        </w:rPr>
        <w:t>Affordance and contact reasoning are closely related because the target proxy uses hand-object proximity at a future frame. However, the proxy should not be interpreted as an official semantic affordance annotation or human contact annotation. ContactPose provides a related contact-focused reference for hand-object grasp/contact modeling [@contactpose2020].</w:t>
      </w:r>
    </w:p>
    <w:p>
      <w:pPr>
        <w:spacing w:after="120" w:line="259" w:lineRule="auto"/>
      </w:pPr>
      <w:r>
        <w:rPr>
          <w:rFonts w:ascii="Times New Roman" w:hAnsi="Times New Roman" w:eastAsia="Times New Roman"/>
          <w:sz w:val="22"/>
        </w:rPr>
        <w:t>The candidate-ranking formulation is related to learning-to-rank and object-centric interaction prediction, where the model scores a set of candidates rather than predicting a single global class. This design is related to learning-to-rank methods such as RankNet [@burges2005ranknet]. In this paper, that formulation is also a safety choice: ranking visible candidates makes candidate-order leakage measurable and allows position-only baselines.</w:t>
      </w:r>
    </w:p>
    <w:p>
      <w:pPr>
        <w:spacing w:after="120" w:line="259" w:lineRule="auto"/>
      </w:pPr>
      <w:r>
        <w:rPr>
          <w:rFonts w:ascii="Times New Roman" w:hAnsi="Times New Roman" w:eastAsia="Times New Roman"/>
          <w:sz w:val="22"/>
        </w:rPr>
        <w:t>Temporal leakage is a central concern in forecasting. A method that uses forecast-frame features as input can appear effective while violating the pre-contact premise. We therefore enforce observation-frame-only inputs and clip-level train/validation/test splitting, following the broader machine-learning principle that target information must not be available through features or evaluation design at prediction time [@kaufman2012leakage].</w:t>
      </w:r>
    </w:p>
    <w:p>
      <w:pPr>
        <w:pStyle w:val="Heading2"/>
      </w:pPr>
      <w:r>
        <w:t>3. Methods</w:t>
      </w:r>
    </w:p>
    <w:p>
      <w:pPr>
        <w:pStyle w:val="Heading3"/>
      </w:pPr>
      <w:r>
        <w:t>3.1 HOT3D-Clips Local Subset</w:t>
      </w:r>
    </w:p>
    <w:p>
      <w:pPr>
        <w:spacing w:after="120" w:line="259" w:lineRule="auto"/>
      </w:pPr>
      <w:r>
        <w:rPr>
          <w:rFonts w:ascii="Times New Roman" w:hAnsi="Times New Roman" w:eastAsia="Times New Roman"/>
          <w:sz w:val="22"/>
        </w:rPr>
        <w:t>We use HOT3D-Clips as the current data source [@hot3d2025], [@hot3dclips2026]. HOT3D-Clips provides curated HOT3D subsequences in WebDataset shard format, with image streams and per-frame annotations for hands, objects, cameras, and metadata. The primary controlled experiment uses a local subset of 50 downloaded shards, not the complete HOT3D or HOT3D-Clips release. A later 75-clip expansion is reported as a robustness/scalability analysis rather than as the main result.</w:t>
      </w:r>
    </w:p>
    <w:p>
      <w:pPr>
        <w:spacing w:after="120" w:line="259" w:lineRule="auto"/>
      </w:pPr>
      <w:r>
        <w:rPr>
          <w:rFonts w:ascii="Times New Roman" w:hAnsi="Times New Roman" w:eastAsia="Times New Roman"/>
          <w:sz w:val="22"/>
        </w:rPr>
        <w:t>The local subset contains 6500 proxy-labeled samples before optimized class-based filtering. After filtering and optimized clip-level splitting, the final protocol uses 4175 training samples, 1040 validation samples, and 910 test samples. The split uses 35 training clips, 8 validation clips, and 7 test clips. Clip-level splitting is required because neighboring samples from the same clip can be highly correlated.</w:t>
      </w:r>
    </w:p>
    <w:p>
      <w:pPr>
        <w:pStyle w:val="Heading3"/>
      </w:pPr>
      <w:r>
        <w:t>3.2 Sample Construction</w:t>
      </w:r>
    </w:p>
    <w:p>
      <w:pPr>
        <w:spacing w:after="120" w:line="259" w:lineRule="auto"/>
      </w:pPr>
      <w:r>
        <w:rPr>
          <w:rFonts w:ascii="Times New Roman" w:hAnsi="Times New Roman" w:eastAsia="Times New Roman"/>
          <w:sz w:val="22"/>
        </w:rPr>
        <w:t>Each sample is a pre-contact forecasting window with 16 observation frames and a forecast frame 5 frames after the observation window. If the observation frames are indexed from t to t + 15, the forecast target is defined at t + 20. Model inputs may use only the observation frames. The forecast frame is used only to derive the target-object proxy and the future hand-pose vector.</w:t>
      </w:r>
    </w:p>
    <w:p>
      <w:pPr>
        <w:spacing w:after="120" w:line="259" w:lineRule="auto"/>
      </w:pPr>
      <w:r>
        <w:rPr>
          <w:rFonts w:ascii="Times New Roman" w:hAnsi="Times New Roman" w:eastAsia="Times New Roman"/>
          <w:sz w:val="22"/>
        </w:rPr>
        <w:t>Each sample stores:</w:t>
      </w:r>
    </w:p>
    <w:p>
      <w:pPr>
        <w:pStyle w:val="ListBullet"/>
      </w:pPr>
      <w:r>
        <w:rPr>
          <w:rFonts w:ascii="Times New Roman" w:hAnsi="Times New Roman" w:eastAsia="Times New Roman"/>
          <w:sz w:val="22"/>
        </w:rPr>
        <w:t>observation frame identifiers;</w:t>
      </w:r>
    </w:p>
    <w:p>
      <w:pPr>
        <w:pStyle w:val="ListBullet"/>
      </w:pPr>
      <w:r>
        <w:rPr>
          <w:rFonts w:ascii="Times New Roman" w:hAnsi="Times New Roman" w:eastAsia="Times New Roman"/>
          <w:sz w:val="22"/>
        </w:rPr>
        <w:t>the forecast frame identifier;</w:t>
      </w:r>
    </w:p>
    <w:p>
      <w:pPr>
        <w:pStyle w:val="ListBullet"/>
      </w:pPr>
      <w:r>
        <w:rPr>
          <w:rFonts w:ascii="Times New Roman" w:hAnsi="Times New Roman" w:eastAsia="Times New Roman"/>
          <w:sz w:val="22"/>
        </w:rPr>
        <w:t>observation-frame hand/object metadata;</w:t>
      </w:r>
    </w:p>
    <w:p>
      <w:pPr>
        <w:pStyle w:val="ListBullet"/>
      </w:pPr>
      <w:r>
        <w:rPr>
          <w:rFonts w:ascii="Times New Roman" w:hAnsi="Times New Roman" w:eastAsia="Times New Roman"/>
          <w:sz w:val="22"/>
        </w:rPr>
        <w:t>observation-frame object candidates;</w:t>
      </w:r>
    </w:p>
    <w:p>
      <w:pPr>
        <w:pStyle w:val="ListBullet"/>
      </w:pPr>
      <w:r>
        <w:rPr>
          <w:rFonts w:ascii="Times New Roman" w:hAnsi="Times New Roman" w:eastAsia="Times New Roman"/>
          <w:sz w:val="22"/>
        </w:rPr>
        <w:t>the forecast-frame derived target-object proxy label;</w:t>
      </w:r>
    </w:p>
    <w:p>
      <w:pPr>
        <w:pStyle w:val="ListBullet"/>
      </w:pPr>
      <w:r>
        <w:rPr>
          <w:rFonts w:ascii="Times New Roman" w:hAnsi="Times New Roman" w:eastAsia="Times New Roman"/>
          <w:sz w:val="22"/>
        </w:rPr>
        <w:t>the future MANO/UmeTrack pose vector;</w:t>
      </w:r>
    </w:p>
    <w:p>
      <w:pPr>
        <w:pStyle w:val="ListBullet"/>
      </w:pPr>
      <w:r>
        <w:rPr>
          <w:rFonts w:ascii="Times New Roman" w:hAnsi="Times New Roman" w:eastAsia="Times New Roman"/>
          <w:sz w:val="22"/>
        </w:rPr>
        <w:t>metadata including clip ID and safety flags.</w:t>
      </w:r>
    </w:p>
    <w:p>
      <w:pPr>
        <w:spacing w:after="120" w:line="259" w:lineRule="auto"/>
      </w:pPr>
      <w:r>
        <w:rPr>
          <w:rFonts w:ascii="Times New Roman" w:hAnsi="Times New Roman" w:eastAsia="Times New Roman"/>
          <w:sz w:val="22"/>
        </w:rPr>
        <w:t>The key safety flag is input_uses_forecast_frame=false. Any run that violates this flag should be excluded.</w:t>
      </w:r>
    </w:p>
    <w:p>
      <w:pPr>
        <w:pStyle w:val="Heading3"/>
      </w:pPr>
      <w:r>
        <w:t>3.3 Ethics and Data Use</w:t>
      </w:r>
    </w:p>
    <w:p>
      <w:pPr>
        <w:spacing w:after="120" w:line="259" w:lineRule="auto"/>
      </w:pPr>
      <w:r>
        <w:rPr>
          <w:rFonts w:ascii="Times New Roman" w:hAnsi="Times New Roman" w:eastAsia="Times New Roman"/>
          <w:sz w:val="22"/>
        </w:rPr>
        <w:t>This study uses an existing third-party dataset. The authors did not collect new human-subject data. HOT3D-Clips data, image streams, raw annotations, WebDataset shards, object models, and other restricted dataset files are not redistributed by this project. Users must obtain HOT3D-Clips from the official provider and follow the dataset license, access conditions, and citation requirements.</w:t>
      </w:r>
    </w:p>
    <w:p>
      <w:pPr>
        <w:spacing w:after="120" w:line="259" w:lineRule="auto"/>
      </w:pPr>
      <w:r>
        <w:rPr>
          <w:rFonts w:ascii="Times New Roman" w:hAnsi="Times New Roman" w:eastAsia="Times New Roman"/>
          <w:sz w:val="22"/>
        </w:rPr>
        <w:t>The current manuscript should include a final dataset license/access note after the official HOT3D-Clips terms are rechecked. The repository should contain code and regeneration scripts, not downloaded dataset files.</w:t>
      </w:r>
    </w:p>
    <w:p>
      <w:pPr>
        <w:pStyle w:val="Heading3"/>
      </w:pPr>
      <w:r>
        <w:t>3.4 Derived Target-Object Proxy Label</w:t>
      </w:r>
    </w:p>
    <w:p>
      <w:pPr>
        <w:spacing w:after="120" w:line="259" w:lineRule="auto"/>
      </w:pPr>
      <w:r>
        <w:rPr>
          <w:rFonts w:ascii="Times New Roman" w:hAnsi="Times New Roman" w:eastAsia="Times New Roman"/>
          <w:sz w:val="22"/>
        </w:rPr>
        <w:t>The current target-object labels are derived proxy labels, not direct HOT3D official annotations. This distinction is central to the paper.</w:t>
      </w:r>
    </w:p>
    <w:p>
      <w:pPr>
        <w:spacing w:after="120" w:line="259" w:lineRule="auto"/>
      </w:pPr>
      <w:r>
        <w:rPr>
          <w:rFonts w:ascii="Times New Roman" w:hAnsi="Times New Roman" w:eastAsia="Times New Roman"/>
          <w:sz w:val="22"/>
        </w:rPr>
        <w:t>For each forecast frame, the proxy generator collects visible hand boxes and visible object boxes. It forms a hand union box and scores each candidate object using overlap with the hand union box and normalized center distance. The highest-scoring forecast-frame object is selected as the target-object proxy. Figure 2 illustrates this proxy-label construction.</w:t>
      </w:r>
    </w:p>
    <w:p>
      <w:pPr>
        <w:spacing w:after="120" w:line="259" w:lineRule="auto"/>
      </w:pPr>
      <w:r>
        <w:rPr>
          <w:rFonts w:ascii="Times New Roman" w:hAnsi="Times New Roman" w:eastAsia="Times New Roman"/>
          <w:sz w:val="22"/>
        </w:rPr>
        <w:t>[Figure 2 here: paper/figures/fig2_proxy_label_generation.png; PDF version: paper/figures/fig2_proxy_label_generation.pdf.]</w:t>
      </w:r>
    </w:p>
    <w:p>
      <w:pPr>
        <w:spacing w:after="120" w:line="259" w:lineRule="auto"/>
      </w:pPr>
      <w:r>
        <w:rPr>
          <w:rFonts w:ascii="Times New Roman" w:hAnsi="Times New Roman" w:eastAsia="Times New Roman"/>
          <w:sz w:val="22"/>
        </w:rPr>
        <w:t>The proxy is intended to approximate the object most aligned with future hand contact or affordance use. It is not a human action label, not an official contact annotation, and not a semantic intention label. It can be wrong when the nearest future object is not the intended object, when bounding boxes are noisy, when multiple objects are close to the hand, or when the action depends on context that is not captured by proximity.</w:t>
      </w:r>
    </w:p>
    <w:p>
      <w:pPr>
        <w:spacing w:after="120" w:line="259" w:lineRule="auto"/>
      </w:pPr>
      <w:r>
        <w:rPr>
          <w:rFonts w:ascii="Times New Roman" w:hAnsi="Times New Roman" w:eastAsia="Times New Roman"/>
          <w:sz w:val="22"/>
        </w:rPr>
        <w:t>The proxy is allowed only as a supervised target. The following forecast-frame signals are not allowed as model inputs:</w:t>
      </w:r>
    </w:p>
    <w:p>
      <w:pPr>
        <w:pStyle w:val="ListBullet"/>
      </w:pPr>
      <w:r>
        <w:rPr>
          <w:rFonts w:ascii="Times New Roman" w:hAnsi="Times New Roman" w:eastAsia="Times New Roman"/>
          <w:sz w:val="22"/>
        </w:rPr>
        <w:t>forecast-frame images;</w:t>
      </w:r>
    </w:p>
    <w:p>
      <w:pPr>
        <w:pStyle w:val="ListBullet"/>
      </w:pPr>
      <w:r>
        <w:rPr>
          <w:rFonts w:ascii="Times New Roman" w:hAnsi="Times New Roman" w:eastAsia="Times New Roman"/>
          <w:sz w:val="22"/>
        </w:rPr>
        <w:t>forecast-frame object boxes;</w:t>
      </w:r>
    </w:p>
    <w:p>
      <w:pPr>
        <w:pStyle w:val="ListBullet"/>
      </w:pPr>
      <w:r>
        <w:rPr>
          <w:rFonts w:ascii="Times New Roman" w:hAnsi="Times New Roman" w:eastAsia="Times New Roman"/>
          <w:sz w:val="22"/>
        </w:rPr>
        <w:t>forecast-frame hand boxes;</w:t>
      </w:r>
    </w:p>
    <w:p>
      <w:pPr>
        <w:pStyle w:val="ListBullet"/>
      </w:pPr>
      <w:r>
        <w:rPr>
          <w:rFonts w:ascii="Times New Roman" w:hAnsi="Times New Roman" w:eastAsia="Times New Roman"/>
          <w:sz w:val="22"/>
        </w:rPr>
        <w:t>forecast-frame proxy scores;</w:t>
      </w:r>
    </w:p>
    <w:p>
      <w:pPr>
        <w:pStyle w:val="ListBullet"/>
      </w:pPr>
      <w:r>
        <w:rPr>
          <w:rFonts w:ascii="Times New Roman" w:hAnsi="Times New Roman" w:eastAsia="Times New Roman"/>
          <w:sz w:val="22"/>
        </w:rPr>
        <w:t>forecast-frame candidate ordering;</w:t>
      </w:r>
    </w:p>
    <w:p>
      <w:pPr>
        <w:pStyle w:val="ListBullet"/>
      </w:pPr>
      <w:r>
        <w:rPr>
          <w:rFonts w:ascii="Times New Roman" w:hAnsi="Times New Roman" w:eastAsia="Times New Roman"/>
          <w:sz w:val="22"/>
        </w:rPr>
        <w:t>forecast-frame metadata.</w:t>
      </w:r>
    </w:p>
    <w:p>
      <w:pPr>
        <w:spacing w:after="120" w:line="259" w:lineRule="auto"/>
      </w:pPr>
      <w:r>
        <w:rPr>
          <w:rFonts w:ascii="Times New Roman" w:hAnsi="Times New Roman" w:eastAsia="Times New Roman"/>
          <w:sz w:val="22"/>
        </w:rPr>
        <w:t>This separation preserves the pre-contact forecasting setting: the model sees only the past observation window and predicts a future target proxy.</w:t>
      </w:r>
    </w:p>
    <w:p>
      <w:pPr>
        <w:pStyle w:val="Heading3"/>
      </w:pPr>
      <w:r>
        <w:t>3.5 Candidate-Ranking Formulation</w:t>
      </w:r>
    </w:p>
    <w:p>
      <w:pPr>
        <w:spacing w:after="120" w:line="259" w:lineRule="auto"/>
      </w:pPr>
      <w:r>
        <w:rPr>
          <w:rFonts w:ascii="Times New Roman" w:hAnsi="Times New Roman" w:eastAsia="Times New Roman"/>
          <w:sz w:val="22"/>
        </w:rPr>
        <w:t>Given an observation window and a set of visible object candidates, PreHOI-Rank predicts a score for each candidate. The target is the candidate matching the derived forecast-frame target-object proxy. Candidates are padded to a fixed maximum count and accompanied by a candidate mask so invalid padded candidates do not contribute to the ranking loss.</w:t>
      </w:r>
    </w:p>
    <w:p>
      <w:pPr>
        <w:spacing w:after="120" w:line="259" w:lineRule="auto"/>
      </w:pPr>
      <w:r>
        <w:rPr>
          <w:rFonts w:ascii="Times New Roman" w:hAnsi="Times New Roman" w:eastAsia="Times New Roman"/>
          <w:sz w:val="22"/>
        </w:rPr>
        <w:t>This formulation differs from global object classification. The model is not asked to choose among every object class in the dataset. Instead, it chooses among the objects visible in the current observation context. This better matches egocentric interaction forecasting, where the target is constrained by what is present around the hand.</w:t>
      </w:r>
    </w:p>
    <w:p>
      <w:pPr>
        <w:pStyle w:val="Heading3"/>
      </w:pPr>
      <w:r>
        <w:t>3.6 Input Features</w:t>
      </w:r>
    </w:p>
    <w:p>
      <w:pPr>
        <w:spacing w:after="120" w:line="259" w:lineRule="auto"/>
      </w:pPr>
      <w:r>
        <w:rPr>
          <w:rFonts w:ascii="Times New Roman" w:hAnsi="Times New Roman" w:eastAsia="Times New Roman"/>
          <w:sz w:val="22"/>
        </w:rPr>
        <w:t>The current strongest model uses observation-window metadata and object candidate features. Temporal metadata summarizes hand/object context over the 16 observation frames. Candidate features describe each visible object from the observation window, including geometry, visibility, hand-object proximity computed from observation frames, and object identity features. No image, CLIP, or forecast-frame features are used in the final candidate-ranker protocol.</w:t>
      </w:r>
    </w:p>
    <w:p>
      <w:pPr>
        <w:spacing w:after="120" w:line="259" w:lineRule="auto"/>
      </w:pPr>
      <w:r>
        <w:rPr>
          <w:rFonts w:ascii="Times New Roman" w:hAnsi="Times New Roman" w:eastAsia="Times New Roman"/>
          <w:sz w:val="22"/>
        </w:rPr>
        <w:t>The model also predicts a future MANO/UmeTrack pose vector. This auxiliary target keeps the formulation connected to 3D hand-object forecasting, although future work should convert pose parameters to 3D joints for MPJPE-style evaluation.</w:t>
      </w:r>
    </w:p>
    <w:p>
      <w:pPr>
        <w:pStyle w:val="Heading3"/>
      </w:pPr>
      <w:r>
        <w:t>3.7 Model Architecture</w:t>
      </w:r>
    </w:p>
    <w:p>
      <w:pPr>
        <w:spacing w:after="120" w:line="259" w:lineRule="auto"/>
      </w:pPr>
      <w:r>
        <w:rPr>
          <w:rFonts w:ascii="Times New Roman" w:hAnsi="Times New Roman" w:eastAsia="Times New Roman"/>
          <w:sz w:val="22"/>
        </w:rPr>
        <w:t>The non-vision-language candidate ranker contains:</w:t>
      </w:r>
    </w:p>
    <w:p>
      <w:pPr>
        <w:pStyle w:val="ListBullet"/>
      </w:pPr>
      <w:r>
        <w:rPr>
          <w:rFonts w:ascii="Times New Roman" w:hAnsi="Times New Roman" w:eastAsia="Times New Roman"/>
          <w:sz w:val="22"/>
        </w:rPr>
        <w:t>a temporal encoder for observation-window metadata;</w:t>
      </w:r>
    </w:p>
    <w:p>
      <w:pPr>
        <w:pStyle w:val="ListBullet"/>
      </w:pPr>
      <w:r>
        <w:rPr>
          <w:rFonts w:ascii="Times New Roman" w:hAnsi="Times New Roman" w:eastAsia="Times New Roman"/>
          <w:sz w:val="22"/>
        </w:rPr>
        <w:t>an object-candidate encoder for padded candidate features;</w:t>
      </w:r>
    </w:p>
    <w:p>
      <w:pPr>
        <w:pStyle w:val="ListBullet"/>
      </w:pPr>
      <w:r>
        <w:rPr>
          <w:rFonts w:ascii="Times New Roman" w:hAnsi="Times New Roman" w:eastAsia="Times New Roman"/>
          <w:sz w:val="22"/>
        </w:rPr>
        <w:t>a fusion module that combines temporal context with candidate features;</w:t>
      </w:r>
    </w:p>
    <w:p>
      <w:pPr>
        <w:pStyle w:val="ListBullet"/>
      </w:pPr>
      <w:r>
        <w:rPr>
          <w:rFonts w:ascii="Times New Roman" w:hAnsi="Times New Roman" w:eastAsia="Times New Roman"/>
          <w:sz w:val="22"/>
        </w:rPr>
        <w:t>a candidate score head producing one score per candidate;</w:t>
      </w:r>
    </w:p>
    <w:p>
      <w:pPr>
        <w:pStyle w:val="ListBullet"/>
      </w:pPr>
      <w:r>
        <w:rPr>
          <w:rFonts w:ascii="Times New Roman" w:hAnsi="Times New Roman" w:eastAsia="Times New Roman"/>
          <w:sz w:val="22"/>
        </w:rPr>
        <w:t>a future pose-vector regression head.</w:t>
      </w:r>
    </w:p>
    <w:p>
      <w:pPr>
        <w:spacing w:after="120" w:line="259" w:lineRule="auto"/>
      </w:pPr>
      <w:r>
        <w:rPr>
          <w:rFonts w:ascii="Times New Roman" w:hAnsi="Times New Roman" w:eastAsia="Times New Roman"/>
          <w:sz w:val="22"/>
        </w:rPr>
        <w:t>The training objective combines candidate-ranking cross-entropy with pose regression loss. Figure 3 shows the current architecture at a high level.</w:t>
      </w:r>
    </w:p>
    <w:p>
      <w:pPr>
        <w:spacing w:after="120" w:line="259" w:lineRule="auto"/>
      </w:pPr>
      <w:r>
        <w:rPr>
          <w:rFonts w:ascii="Times New Roman" w:hAnsi="Times New Roman" w:eastAsia="Times New Roman"/>
          <w:sz w:val="22"/>
        </w:rPr>
        <w:t>[Figure 3 here: paper/figures/fig3_prehoi_rank_architecture.png; PDF version: paper/figures/fig3_prehoi_rank_architecture.pdf.]</w:t>
      </w:r>
    </w:p>
    <w:p>
      <w:pPr>
        <w:pStyle w:val="Heading3"/>
      </w:pPr>
      <w:r>
        <w:t>3.8 Candidate-Order Safety</w:t>
      </w:r>
    </w:p>
    <w:p>
      <w:pPr>
        <w:spacing w:after="120" w:line="259" w:lineRule="auto"/>
      </w:pPr>
      <w:r>
        <w:rPr>
          <w:rFonts w:ascii="Times New Roman" w:hAnsi="Times New Roman" w:eastAsia="Times New Roman"/>
          <w:sz w:val="22"/>
        </w:rPr>
        <w:t>Candidate order can create a hidden leakage path. Earlier pilot checks showed that unsafe ordering could place the target candidate near position 0 too often, inflating candidate-ranking metrics. PreHOI-Rank therefore uses candidate_order: stable_uid, which sorts candidates by stable object identifier or object name. The model is not evaluated with raw/as-is ordering, proxy-score ordering, target-aware ordering, or any order based on forecast-frame information.</w:t>
      </w:r>
    </w:p>
    <w:p>
      <w:pPr>
        <w:spacing w:after="120" w:line="259" w:lineRule="auto"/>
      </w:pPr>
      <w:r>
        <w:rPr>
          <w:rFonts w:ascii="Times New Roman" w:hAnsi="Times New Roman" w:eastAsia="Times New Roman"/>
          <w:sz w:val="22"/>
        </w:rPr>
        <w:t>The evaluation also reports position-only baselines, including candidate-0 Top-1, first-3 Top-3, and position-only MRR. A valid ranker must be interpreted relative to these baselines.</w:t>
      </w:r>
    </w:p>
    <w:p>
      <w:pPr>
        <w:pStyle w:val="Heading2"/>
      </w:pPr>
      <w:r>
        <w:t>4. Experimental Setup</w:t>
      </w:r>
    </w:p>
    <w:p>
      <w:pPr>
        <w:spacing w:after="120" w:line="259" w:lineRule="auto"/>
      </w:pPr>
      <w:r>
        <w:rPr>
          <w:rFonts w:ascii="Times New Roman" w:hAnsi="Times New Roman" w:eastAsia="Times New Roman"/>
          <w:sz w:val="22"/>
        </w:rPr>
        <w:t>The final-protocol candidate-ranker experiment uses the 50-clip local HOT3D-Clips subset and optimized clip-level splits. The protocol is summarized in Table 2 and Figure 4.</w:t>
      </w:r>
    </w:p>
    <w:p>
      <w:pPr>
        <w:spacing w:after="120" w:line="259" w:lineRule="auto"/>
      </w:pPr>
      <w:r>
        <w:rPr>
          <w:rFonts w:ascii="Times New Roman" w:hAnsi="Times New Roman" w:eastAsia="Times New Roman"/>
          <w:sz w:val="22"/>
        </w:rPr>
        <w:t>[Figure 4 here: paper/figures/fig4_protocol_safety.png; PDF version: paper/figures/fig4_protocol_safety.pdf.]</w:t>
      </w:r>
    </w:p>
    <w:p>
      <w:pPr>
        <w:spacing w:after="120" w:line="259" w:lineRule="auto"/>
      </w:pPr>
      <w:r>
        <w:rPr>
          <w:rFonts w:ascii="Times New Roman" w:hAnsi="Times New Roman" w:eastAsia="Times New Roman"/>
          <w:sz w:val="22"/>
        </w:rPr>
        <w:t>[Table 2 here: paper/tables/protocol_safety_table.md.]</w:t>
      </w:r>
    </w:p>
    <w:p>
      <w:pPr>
        <w:spacing w:after="120" w:line="259" w:lineRule="auto"/>
      </w:pPr>
      <w:r>
        <w:rPr>
          <w:rFonts w:ascii="Times New Roman" w:hAnsi="Times New Roman" w:eastAsia="Times New Roman"/>
          <w:sz w:val="22"/>
        </w:rPr>
        <w:t>The required safety rules are:</w:t>
      </w:r>
    </w:p>
    <w:p>
      <w:pPr>
        <w:pStyle w:val="ListBullet"/>
      </w:pPr>
      <w:r>
        <w:rPr>
          <w:rFonts w:ascii="Times New Roman" w:hAnsi="Times New Roman" w:eastAsia="Times New Roman"/>
          <w:sz w:val="22"/>
        </w:rPr>
        <w:t>use only observation-frame inputs;</w:t>
      </w:r>
    </w:p>
    <w:p>
      <w:pPr>
        <w:pStyle w:val="ListBullet"/>
      </w:pPr>
      <w:r>
        <w:rPr>
          <w:rFonts w:ascii="Times New Roman" w:hAnsi="Times New Roman" w:eastAsia="Times New Roman"/>
          <w:sz w:val="22"/>
        </w:rPr>
        <w:t>keep input_uses_forecast_frame=false;</w:t>
      </w:r>
    </w:p>
    <w:p>
      <w:pPr>
        <w:pStyle w:val="ListBullet"/>
      </w:pPr>
      <w:r>
        <w:rPr>
          <w:rFonts w:ascii="Times New Roman" w:hAnsi="Times New Roman" w:eastAsia="Times New Roman"/>
          <w:sz w:val="22"/>
        </w:rPr>
        <w:t>use forecast-frame proxy labels only as supervised targets;</w:t>
      </w:r>
    </w:p>
    <w:p>
      <w:pPr>
        <w:pStyle w:val="ListBullet"/>
      </w:pPr>
      <w:r>
        <w:rPr>
          <w:rFonts w:ascii="Times New Roman" w:hAnsi="Times New Roman" w:eastAsia="Times New Roman"/>
          <w:sz w:val="22"/>
        </w:rPr>
        <w:t>use candidate_order: stable_uid;</w:t>
      </w:r>
    </w:p>
    <w:p>
      <w:pPr>
        <w:pStyle w:val="ListBullet"/>
      </w:pPr>
      <w:r>
        <w:rPr>
          <w:rFonts w:ascii="Times New Roman" w:hAnsi="Times New Roman" w:eastAsia="Times New Roman"/>
          <w:sz w:val="22"/>
        </w:rPr>
        <w:t>exclude raw/as-is, proxy-sorted, and target-aware candidate orderings;</w:t>
      </w:r>
    </w:p>
    <w:p>
      <w:pPr>
        <w:pStyle w:val="ListBullet"/>
      </w:pPr>
      <w:r>
        <w:rPr>
          <w:rFonts w:ascii="Times New Roman" w:hAnsi="Times New Roman" w:eastAsia="Times New Roman"/>
          <w:sz w:val="22"/>
        </w:rPr>
        <w:t>split train/validation/test by clip ID, not random sample ID;</w:t>
      </w:r>
    </w:p>
    <w:p>
      <w:pPr>
        <w:pStyle w:val="ListBullet"/>
      </w:pPr>
      <w:r>
        <w:rPr>
          <w:rFonts w:ascii="Times New Roman" w:hAnsi="Times New Roman" w:eastAsia="Times New Roman"/>
          <w:sz w:val="22"/>
        </w:rPr>
        <w:t>call labels derived proxy labels, not official annotations.</w:t>
      </w:r>
    </w:p>
    <w:p>
      <w:pPr>
        <w:spacing w:after="120" w:line="259" w:lineRule="auto"/>
      </w:pPr>
      <w:r>
        <w:rPr>
          <w:rFonts w:ascii="Times New Roman" w:hAnsi="Times New Roman" w:eastAsia="Times New Roman"/>
          <w:sz w:val="22"/>
        </w:rPr>
        <w:t>The final candidate-ranker protocol uses five seeds: 42, 123, 2026, 7, and 99. Metrics are reported as mean +/- standard deviation over seeds.</w:t>
      </w:r>
    </w:p>
    <w:p>
      <w:pPr>
        <w:spacing w:after="120" w:line="259" w:lineRule="auto"/>
      </w:pPr>
      <w:r>
        <w:rPr>
          <w:rFonts w:ascii="Times New Roman" w:hAnsi="Times New Roman" w:eastAsia="Times New Roman"/>
          <w:sz w:val="22"/>
        </w:rPr>
        <w:t>The ranking metrics are:</w:t>
      </w:r>
    </w:p>
    <w:p>
      <w:pPr>
        <w:pStyle w:val="ListBullet"/>
      </w:pPr>
      <w:r>
        <w:rPr>
          <w:rFonts w:ascii="Times New Roman" w:hAnsi="Times New Roman" w:eastAsia="Times New Roman"/>
          <w:sz w:val="22"/>
        </w:rPr>
        <w:t>Top-1 candidate accuracy;</w:t>
      </w:r>
    </w:p>
    <w:p>
      <w:pPr>
        <w:pStyle w:val="ListBullet"/>
      </w:pPr>
      <w:r>
        <w:rPr>
          <w:rFonts w:ascii="Times New Roman" w:hAnsi="Times New Roman" w:eastAsia="Times New Roman"/>
          <w:sz w:val="22"/>
        </w:rPr>
        <w:t>Top-3 candidate accuracy;</w:t>
      </w:r>
    </w:p>
    <w:p>
      <w:pPr>
        <w:pStyle w:val="ListBullet"/>
      </w:pPr>
      <w:r>
        <w:rPr>
          <w:rFonts w:ascii="Times New Roman" w:hAnsi="Times New Roman" w:eastAsia="Times New Roman"/>
          <w:sz w:val="22"/>
        </w:rPr>
        <w:t>mean reciprocal rank (MRR).</w:t>
      </w:r>
    </w:p>
    <w:p>
      <w:pPr>
        <w:spacing w:after="120" w:line="259" w:lineRule="auto"/>
      </w:pPr>
      <w:r>
        <w:rPr>
          <w:rFonts w:ascii="Times New Roman" w:hAnsi="Times New Roman" w:eastAsia="Times New Roman"/>
          <w:sz w:val="22"/>
        </w:rPr>
        <w:t>The pose metrics are:</w:t>
      </w:r>
    </w:p>
    <w:p>
      <w:pPr>
        <w:pStyle w:val="ListBullet"/>
      </w:pPr>
      <w:r>
        <w:rPr>
          <w:rFonts w:ascii="Times New Roman" w:hAnsi="Times New Roman" w:eastAsia="Times New Roman"/>
          <w:sz w:val="22"/>
        </w:rPr>
        <w:t>future pose-vector mean squared error (MSE);</w:t>
      </w:r>
    </w:p>
    <w:p>
      <w:pPr>
        <w:pStyle w:val="ListBullet"/>
      </w:pPr>
      <w:r>
        <w:rPr>
          <w:rFonts w:ascii="Times New Roman" w:hAnsi="Times New Roman" w:eastAsia="Times New Roman"/>
          <w:sz w:val="22"/>
        </w:rPr>
        <w:t>future pose-vector mean absolute error (MAE).</w:t>
      </w:r>
    </w:p>
    <w:p>
      <w:pPr>
        <w:spacing w:after="120" w:line="259" w:lineRule="auto"/>
      </w:pPr>
      <w:r>
        <w:rPr>
          <w:rFonts w:ascii="Times New Roman" w:hAnsi="Times New Roman" w:eastAsia="Times New Roman"/>
          <w:sz w:val="22"/>
        </w:rPr>
        <w:t>These pose metrics are computed on the current pose-vector representation, not on reconstructed 3D joints.</w:t>
      </w:r>
    </w:p>
    <w:p>
      <w:pPr>
        <w:pStyle w:val="Heading2"/>
      </w:pPr>
      <w:r>
        <w:t>5. Results</w:t>
      </w:r>
    </w:p>
    <w:p>
      <w:pPr>
        <w:pStyle w:val="Heading3"/>
      </w:pPr>
      <w:r>
        <w:t>5.1 Main 50-Clip Five-Seed Result</w:t>
      </w:r>
    </w:p>
    <w:p>
      <w:pPr>
        <w:spacing w:after="120" w:line="259" w:lineRule="auto"/>
      </w:pPr>
      <w:r>
        <w:rPr>
          <w:rFonts w:ascii="Times New Roman" w:hAnsi="Times New Roman" w:eastAsia="Times New Roman"/>
          <w:sz w:val="22"/>
        </w:rPr>
        <w:t>Table 1 reports the main paper-candidate result for the order-safe non-vision-language candidate ranker on the 50-clip local HOT3D-Clips subset.</w:t>
      </w:r>
    </w:p>
    <w:p>
      <w:pPr>
        <w:spacing w:after="120" w:line="259" w:lineRule="auto"/>
      </w:pPr>
      <w:r>
        <w:rPr>
          <w:rFonts w:ascii="Times New Roman" w:hAnsi="Times New Roman" w:eastAsia="Times New Roman"/>
          <w:sz w:val="22"/>
        </w:rPr>
        <w:t>[Table 1 here: paper/tables/results_table_prehoi_rank.md.]</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80" w:type="dxa"/>
              <w:bottom w:w="80" w:type="dxa"/>
              <w:end w:w="80" w:type="dxa"/>
            </w:tcMar>
            <w:shd w:fill="EDEDED"/>
          </w:tcPr>
          <w:p>
            <w:pPr>
              <w:spacing w:after="0"/>
            </w:pPr>
            <w:r>
              <w:rPr>
                <w:rFonts w:ascii="Times New Roman" w:hAnsi="Times New Roman" w:eastAsia="Times New Roman"/>
                <w:b/>
                <w:sz w:val="18"/>
              </w:rPr>
              <w:t>Metric</w:t>
            </w:r>
          </w:p>
        </w:tc>
        <w:tc>
          <w:tcPr>
            <w:tcW w:type="dxa" w:w="4680"/>
            <w:vAlign w:val="center"/>
            <w:tcMar>
              <w:top w:w="80" w:type="dxa"/>
              <w:start w:w="80" w:type="dxa"/>
              <w:bottom w:w="80" w:type="dxa"/>
              <w:end w:w="80" w:type="dxa"/>
            </w:tcMar>
            <w:shd w:fill="EDEDED"/>
          </w:tcPr>
          <w:p>
            <w:pPr>
              <w:spacing w:after="0"/>
            </w:pPr>
            <w:r>
              <w:rPr>
                <w:rFonts w:ascii="Times New Roman" w:hAnsi="Times New Roman" w:eastAsia="Times New Roman"/>
                <w:b/>
                <w:sz w:val="18"/>
              </w:rPr>
              <w:t>Mean +/- Std</w:t>
            </w:r>
          </w:p>
        </w:tc>
      </w:tr>
      <w:tr>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Top-1 candidate accuracy</w:t>
            </w:r>
          </w:p>
        </w:tc>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0.7499 +/- 0.0450</w:t>
            </w:r>
          </w:p>
        </w:tc>
      </w:tr>
      <w:tr>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Top-3 candidate accuracy</w:t>
            </w:r>
          </w:p>
        </w:tc>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0.9699 +/- 0.0161</w:t>
            </w:r>
          </w:p>
        </w:tc>
      </w:tr>
      <w:tr>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MRR</w:t>
            </w:r>
          </w:p>
        </w:tc>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0.8605 +/- 0.0221</w:t>
            </w:r>
          </w:p>
        </w:tc>
      </w:tr>
      <w:tr>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Pose MSE</w:t>
            </w:r>
          </w:p>
        </w:tc>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0.4301 +/- 0.0116</w:t>
            </w:r>
          </w:p>
        </w:tc>
      </w:tr>
      <w:tr>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Pose MAE</w:t>
            </w:r>
          </w:p>
        </w:tc>
        <w:tc>
          <w:tcPr>
            <w:tcW w:type="dxa" w:w="4680"/>
            <w:vAlign w:val="center"/>
            <w:tcMar>
              <w:top w:w="80" w:type="dxa"/>
              <w:start w:w="80" w:type="dxa"/>
              <w:bottom w:w="80" w:type="dxa"/>
              <w:end w:w="80" w:type="dxa"/>
            </w:tcMar>
          </w:tcPr>
          <w:p>
            <w:pPr>
              <w:spacing w:after="0"/>
            </w:pPr>
            <w:r>
              <w:rPr>
                <w:rFonts w:ascii="Times New Roman" w:hAnsi="Times New Roman" w:eastAsia="Times New Roman"/>
                <w:b w:val="0"/>
                <w:sz w:val="18"/>
              </w:rPr>
              <w:t>0.4102 +/- 0.0051</w:t>
            </w:r>
          </w:p>
        </w:tc>
      </w:tr>
    </w:tbl>
    <w:p/>
    <w:p>
      <w:pPr>
        <w:spacing w:after="120" w:line="259" w:lineRule="auto"/>
      </w:pPr>
      <w:r>
        <w:rPr>
          <w:rFonts w:ascii="Times New Roman" w:hAnsi="Times New Roman" w:eastAsia="Times New Roman"/>
          <w:sz w:val="22"/>
        </w:rPr>
        <w:t>The candidate ranker substantially exceeds the test-split candidate-0 and position-only MRR baselines under stable UID ordering. Top-3 accuracy, however, requires a more cautious reading because some samples have small candidate sets. For that reason, first-3 and random Top-3 baselines are reported alongside model metrics.</w:t>
      </w:r>
    </w:p>
    <w:p>
      <w:pPr>
        <w:pStyle w:val="Heading3"/>
      </w:pPr>
      <w:r>
        <w:t>5.2 25-Clip Versus 50-Clip Comparison</w:t>
      </w:r>
    </w:p>
    <w:p>
      <w:pPr>
        <w:spacing w:after="120" w:line="259" w:lineRule="auto"/>
      </w:pPr>
      <w:r>
        <w:rPr>
          <w:rFonts w:ascii="Times New Roman" w:hAnsi="Times New Roman" w:eastAsia="Times New Roman"/>
          <w:sz w:val="22"/>
        </w:rPr>
        <w:t>The 50-clip protocol improves over the earlier 25-clip pilot: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Setting</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Top-1</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Top-3</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MRR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Pose MAE</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25-clip, 3-seed pilot</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0.5624</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not reported</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0.7502</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0.4412</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50-clip, 5-seed primary protocol</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0.7499 +/- 0.0450</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0.9699 +/- 0.0161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0.8605 +/- 0.0221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0.4102 +/- 0.0051</w:t>
            </w:r>
          </w:p>
        </w:tc>
      </w:tr>
    </w:tbl>
    <w:p/>
    <w:p>
      <w:pPr>
        <w:spacing w:after="120" w:line="259" w:lineRule="auto"/>
      </w:pPr>
      <w:r>
        <w:rPr>
          <w:rFonts w:ascii="Times New Roman" w:hAnsi="Times New Roman" w:eastAsia="Times New Roman"/>
          <w:sz w:val="22"/>
        </w:rPr>
        <w:t>Figure 5 visualizes this comparison together with the 75-clip robustness analysis described below.</w:t>
      </w:r>
    </w:p>
    <w:p>
      <w:pPr>
        <w:spacing w:after="120" w:line="259" w:lineRule="auto"/>
      </w:pPr>
      <w:r>
        <w:rPr>
          <w:rFonts w:ascii="Times New Roman" w:hAnsi="Times New Roman" w:eastAsia="Times New Roman"/>
          <w:sz w:val="22"/>
        </w:rPr>
        <w:t>[Figure 5 here: paper/figures/fig5_25clip_vs_50clip_results.png; PDF version: paper/figures/fig5_25clip_vs_50clip_results.pdf.]</w:t>
      </w:r>
    </w:p>
    <w:p>
      <w:pPr>
        <w:spacing w:after="120" w:line="259" w:lineRule="auto"/>
      </w:pPr>
      <w:r>
        <w:rPr>
          <w:rFonts w:ascii="Times New Roman" w:hAnsi="Times New Roman" w:eastAsia="Times New Roman"/>
          <w:sz w:val="22"/>
        </w:rPr>
        <w:t>The improvement suggests that data expansion and split quality materially affect this task. It does not establish final generalization to the complete HOT3D release.</w:t>
      </w:r>
    </w:p>
    <w:p>
      <w:pPr>
        <w:pStyle w:val="Heading3"/>
      </w:pPr>
      <w:r>
        <w:t>5.3 Robustness Analysis on a 75-Clip Expansion</w:t>
      </w:r>
    </w:p>
    <w:p>
      <w:pPr>
        <w:spacing w:after="120" w:line="259" w:lineRule="auto"/>
      </w:pPr>
      <w:r>
        <w:rPr>
          <w:rFonts w:ascii="Times New Roman" w:hAnsi="Times New Roman" w:eastAsia="Times New Roman"/>
          <w:sz w:val="22"/>
        </w:rPr>
        <w:t>We also expanded the local HOT3D-Clips subset to 75 shards and reran the same five-seed candidate-ranker protocol. The expansion increased the proxy sample count from 6500 to 9750 and increased the optimized eligible proxy classes from 23 to 30. However, the resulting split was broader and harder: validation and test still missed some eligible classes, and the number of classes shared across train, validation, and test decreased from 20 in the 50-clip protocol to 17 in the 75-clip protocol.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Setting</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Top-1</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Top-3</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MRR</w:t>
            </w:r>
          </w:p>
        </w:tc>
        <w:tc>
          <w:tcPr>
            <w:tcW w:type="dxa" w:w="1872"/>
            <w:vAlign w:val="center"/>
            <w:tcMar>
              <w:top w:w="80" w:type="dxa"/>
              <w:start w:w="80" w:type="dxa"/>
              <w:bottom w:w="80" w:type="dxa"/>
              <w:end w:w="80" w:type="dxa"/>
            </w:tcMar>
            <w:shd w:fill="EDEDED"/>
          </w:tcPr>
          <w:p>
            <w:pPr>
              <w:spacing w:after="0"/>
            </w:pPr>
            <w:r>
              <w:rPr>
                <w:rFonts w:ascii="Times New Roman" w:hAnsi="Times New Roman" w:eastAsia="Times New Roman"/>
                <w:b/>
                <w:sz w:val="18"/>
              </w:rPr>
              <w:t>Pose MAE</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50-clip, primary protocol</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0.7499 +/- 0.0450</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0.9699 +/- 0.0161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0.8605 +/- 0.0221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0.4102 +/- 0.0051</w:t>
            </w:r>
          </w:p>
        </w:tc>
      </w:tr>
      <w:tr>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75-clip, robustness protocol</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0.7115 +/- 0.0571</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0.9789 +/- 0.0009</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0.8340 +/- 0.0343</w:t>
            </w:r>
          </w:p>
        </w:tc>
        <w:tc>
          <w:tcPr>
            <w:tcW w:type="dxa" w:w="1872"/>
            <w:vAlign w:val="center"/>
            <w:tcMar>
              <w:top w:w="80" w:type="dxa"/>
              <w:start w:w="80" w:type="dxa"/>
              <w:bottom w:w="80" w:type="dxa"/>
              <w:end w:w="80" w:type="dxa"/>
            </w:tcMar>
          </w:tcPr>
          <w:p>
            <w:pPr>
              <w:spacing w:after="0"/>
            </w:pPr>
            <w:r>
              <w:rPr>
                <w:rFonts w:ascii="Times New Roman" w:hAnsi="Times New Roman" w:eastAsia="Times New Roman"/>
                <w:b w:val="0"/>
                <w:sz w:val="18"/>
              </w:rPr>
              <w:t>0.4676 +/- 0.0096</w:t>
            </w:r>
          </w:p>
        </w:tc>
      </w:tr>
    </w:tbl>
    <w:p/>
    <w:p>
      <w:pPr>
        <w:spacing w:after="120" w:line="259" w:lineRule="auto"/>
      </w:pPr>
      <w:r>
        <w:rPr>
          <w:rFonts w:ascii="Times New Roman" w:hAnsi="Times New Roman" w:eastAsia="Times New Roman"/>
          <w:sz w:val="22"/>
        </w:rPr>
        <w:t>The 75-clip protocol maintained high Top-3 performance and had a lower candidate-0 position baseline on the test split. At the same time, Top-1, MRR, and pose-vector MAE were weaker than in the cleaner 50-clip protocol. We therefore use the 50-clip protocol as the primary controlled evaluation and report the 75-clip protocol as a robustness/scalability analysis under a larger but less balanced local subset.</w:t>
      </w:r>
    </w:p>
    <w:p>
      <w:pPr>
        <w:pStyle w:val="Heading3"/>
      </w:pPr>
      <w:r>
        <w:t>5.4 Exploratory Ablations</w:t>
      </w:r>
    </w:p>
    <w:p>
      <w:pPr>
        <w:spacing w:after="120" w:line="259" w:lineRule="auto"/>
      </w:pPr>
      <w:r>
        <w:rPr>
          <w:rFonts w:ascii="Times New Roman" w:hAnsi="Times New Roman" w:eastAsia="Times New Roman"/>
          <w:sz w:val="22"/>
        </w:rPr>
        <w:t>During development, metadata-only, object-aware, image-statistics, frozen-CLIP, candidate-ranker, vision-language candidate-ranker, PreHOI-Former v1, and PreHOI-Former v2 variants were tested as pilot experiments. Some early runs were excluded because of leakage or candidate-order safety concerns.</w:t>
      </w:r>
    </w:p>
    <w:p>
      <w:pPr>
        <w:spacing w:after="120" w:line="259" w:lineRule="auto"/>
      </w:pPr>
      <w:r>
        <w:rPr>
          <w:rFonts w:ascii="Times New Roman" w:hAnsi="Times New Roman" w:eastAsia="Times New Roman"/>
          <w:sz w:val="22"/>
        </w:rPr>
        <w:t>The current manuscript should treat vision-language and PreHOI-Former variants as exploratory ablations. They are useful for understanding the design space, but the repeated-seed evidence currently favors the simpler order-safe non-vision-language candidate ranker.</w:t>
      </w:r>
    </w:p>
    <w:p>
      <w:pPr>
        <w:pStyle w:val="Heading2"/>
      </w:pPr>
      <w:r>
        <w:t>6. Discussion</w:t>
      </w:r>
    </w:p>
    <w:p>
      <w:pPr>
        <w:spacing w:after="120" w:line="259" w:lineRule="auto"/>
      </w:pPr>
      <w:r>
        <w:rPr>
          <w:rFonts w:ascii="Times New Roman" w:hAnsi="Times New Roman" w:eastAsia="Times New Roman"/>
          <w:sz w:val="22"/>
        </w:rPr>
        <w:t>The results support candidate ranking as the most evidence-backed formulation in the current project. The model benefits from asking a local, interaction-specific question: among the visible candidates, which object is most likely to become the future hand-object target? This framing is closer to the egocentric interaction problem than predicting a global object class.</w:t>
      </w:r>
    </w:p>
    <w:p>
      <w:pPr>
        <w:spacing w:after="120" w:line="259" w:lineRule="auto"/>
      </w:pPr>
      <w:r>
        <w:rPr>
          <w:rFonts w:ascii="Times New Roman" w:hAnsi="Times New Roman" w:eastAsia="Times New Roman"/>
          <w:sz w:val="22"/>
        </w:rPr>
        <w:t>The safety protocol is as important as the model itself. Because the target proxy is derived from the forecast frame, any forecast-frame feature in the input would make the task artificially easy. Candidate ordering can create a similar problem when candidates are sorted by target-aware quantities. The manuscript therefore reports explicit leakage and order-bias controls rather than interpreting candidate-ranking metrics in isolation.</w:t>
      </w:r>
    </w:p>
    <w:p>
      <w:pPr>
        <w:spacing w:after="120" w:line="259" w:lineRule="auto"/>
      </w:pPr>
      <w:r>
        <w:rPr>
          <w:rFonts w:ascii="Times New Roman" w:hAnsi="Times New Roman" w:eastAsia="Times New Roman"/>
          <w:sz w:val="22"/>
        </w:rPr>
        <w:t>The finding that the non-vision-language ranker outperforms current vision-language variants is also informative. It suggests that hand-object geometry and candidate-level structure are strong signals for this proxy task. Vision-language fusion may still be valuable, but it should be redesigned and evaluated as an ablation under the same protocol instead of being claimed as the central contribution.</w:t>
      </w:r>
    </w:p>
    <w:p>
      <w:pPr>
        <w:pStyle w:val="Heading2"/>
      </w:pPr>
      <w:r>
        <w:t>7. Limitations and Threats to Validity</w:t>
      </w:r>
    </w:p>
    <w:p>
      <w:pPr>
        <w:pStyle w:val="Heading3"/>
      </w:pPr>
      <w:r>
        <w:t>Derived Proxy Labels</w:t>
      </w:r>
    </w:p>
    <w:p>
      <w:pPr>
        <w:spacing w:after="120" w:line="259" w:lineRule="auto"/>
      </w:pPr>
      <w:r>
        <w:rPr>
          <w:rFonts w:ascii="Times New Roman" w:hAnsi="Times New Roman" w:eastAsia="Times New Roman"/>
          <w:sz w:val="22"/>
        </w:rPr>
        <w:t>The target-object labels are derived from forecast-frame hand-object proximity. They are not human-annotated action labels, direct contact annotations, or official HOT3D target-object annotations. The proxy may fail when interaction intent differs from closest-object geometry.</w:t>
      </w:r>
    </w:p>
    <w:p>
      <w:pPr>
        <w:pStyle w:val="Heading3"/>
      </w:pPr>
      <w:r>
        <w:t>Local 50-Clip Subset</w:t>
      </w:r>
    </w:p>
    <w:p>
      <w:pPr>
        <w:spacing w:after="120" w:line="259" w:lineRule="auto"/>
      </w:pPr>
      <w:r>
        <w:rPr>
          <w:rFonts w:ascii="Times New Roman" w:hAnsi="Times New Roman" w:eastAsia="Times New Roman"/>
          <w:sz w:val="22"/>
        </w:rPr>
        <w:t>The primary result uses 50 local HOT3D-Clips shards, not the complete dataset. A 75-clip robustness run was also completed, but it introduced a harder and less balanced split and did not replace the 50-clip result as the primary controlled evaluation. Full-dataset or larger-subset evaluation is still needed before broad generalization claims.</w:t>
      </w:r>
    </w:p>
    <w:p>
      <w:pPr>
        <w:pStyle w:val="Heading3"/>
      </w:pPr>
      <w:r>
        <w:t>Residual Class Imbalance</w:t>
      </w:r>
    </w:p>
    <w:p>
      <w:pPr>
        <w:spacing w:after="120" w:line="259" w:lineRule="auto"/>
      </w:pPr>
      <w:r>
        <w:rPr>
          <w:rFonts w:ascii="Times New Roman" w:hAnsi="Times New Roman" w:eastAsia="Times New Roman"/>
          <w:sz w:val="22"/>
        </w:rPr>
        <w:t>The optimized split improves class coverage, but some imbalance remains. The test split is missing food_waffles, potato_masher, and spatula_red, and the train split has low counts for bottle_ranch, cellphone, and mug_white. These warnings should remain visible in the final manuscript.</w:t>
      </w:r>
    </w:p>
    <w:p>
      <w:pPr>
        <w:pStyle w:val="Heading3"/>
      </w:pPr>
      <w:r>
        <w:t>Pose Metric Limitation</w:t>
      </w:r>
    </w:p>
    <w:p>
      <w:pPr>
        <w:spacing w:after="120" w:line="259" w:lineRule="auto"/>
      </w:pPr>
      <w:r>
        <w:rPr>
          <w:rFonts w:ascii="Times New Roman" w:hAnsi="Times New Roman" w:eastAsia="Times New Roman"/>
          <w:sz w:val="22"/>
        </w:rPr>
        <w:t>Pose evaluation currently uses MANO/UmeTrack pose-vector MSE and MAE. These metrics are useful for pipeline validation, but they are not equivalent to 3D joint MPJPE. Future work should convert pose representations to 3D joints if a validated conversion path is available.</w:t>
      </w:r>
    </w:p>
    <w:p>
      <w:pPr>
        <w:pStyle w:val="Heading3"/>
      </w:pPr>
      <w:r>
        <w:t>Candidate Visibility Assumption</w:t>
      </w:r>
    </w:p>
    <w:p>
      <w:pPr>
        <w:spacing w:after="120" w:line="259" w:lineRule="auto"/>
      </w:pPr>
      <w:r>
        <w:rPr>
          <w:rFonts w:ascii="Times New Roman" w:hAnsi="Times New Roman" w:eastAsia="Times New Roman"/>
          <w:sz w:val="22"/>
        </w:rPr>
        <w:t>The candidate-ranking task assumes that the relevant object is represented in the visible candidate set. If the future target is absent, occluded, incorrectly detected, or missing from the candidate annotations, the ranking formulation cannot select it correctly.</w:t>
      </w:r>
    </w:p>
    <w:p>
      <w:pPr>
        <w:pStyle w:val="Heading3"/>
      </w:pPr>
      <w:r>
        <w:t>Exploratory Model Scope</w:t>
      </w:r>
    </w:p>
    <w:p>
      <w:pPr>
        <w:spacing w:after="120" w:line="259" w:lineRule="auto"/>
      </w:pPr>
      <w:r>
        <w:rPr>
          <w:rFonts w:ascii="Times New Roman" w:hAnsi="Times New Roman" w:eastAsia="Times New Roman"/>
          <w:sz w:val="22"/>
        </w:rPr>
        <w:t>Vision-language and PreHOI-Former variants remain exploratory. Current evidence does not justify claiming that those components are the main performance driver.</w:t>
      </w:r>
    </w:p>
    <w:p>
      <w:pPr>
        <w:pStyle w:val="Heading2"/>
      </w:pPr>
      <w:r>
        <w:t>8. Data and Code Availability</w:t>
      </w:r>
    </w:p>
    <w:p>
      <w:pPr>
        <w:spacing w:after="120" w:line="259" w:lineRule="auto"/>
      </w:pPr>
      <w:r>
        <w:rPr>
          <w:rFonts w:ascii="Times New Roman" w:hAnsi="Times New Roman" w:eastAsia="Times New Roman"/>
          <w:sz w:val="22"/>
        </w:rPr>
        <w:t>HOT3D-Clips is a third-party dataset distributed by its original providers. The authors do not redistribute raw HOT3D-Clips data, WebDataset shards, image streams, object models, or restricted annotations. Readers should obtain the dataset directly from the official provider and follow the provider's license, access, and citation requirements.</w:t>
      </w:r>
    </w:p>
    <w:p>
      <w:pPr>
        <w:spacing w:after="120" w:line="259" w:lineRule="auto"/>
      </w:pPr>
      <w:r>
        <w:rPr>
          <w:rFonts w:ascii="Times New Roman" w:hAnsi="Times New Roman" w:eastAsia="Times New Roman"/>
          <w:sz w:val="22"/>
        </w:rPr>
        <w:t>The code is available in the PreHOI-Rank repository at https://github.com/XessX/prehoi-rank-hot3d; The final/current v0.1.2 Zenodo archive DOI is 10.5281/zenodo.20736962. The repository should include scripts for HOT3D-Clips inspection, proxy-label generation, split optimization, leakage checks, candidate-order bias checks, training, metric collection, and figure generation. Generated sample indexes can be regenerated from downloaded HOT3D-Clips shards by authorized users. Whether derived index files can be shared directly must be confirmed against the dataset terms before submission.</w:t>
      </w:r>
    </w:p>
    <w:p>
      <w:pPr>
        <w:spacing w:after="120" w:line="259" w:lineRule="auto"/>
      </w:pPr>
      <w:r>
        <w:rPr>
          <w:rFonts w:ascii="Times New Roman" w:hAnsi="Times New Roman" w:eastAsia="Times New Roman"/>
          <w:sz w:val="22"/>
        </w:rPr>
        <w:t>The authors did not collect new private human-subject data. Trained checkpoints, logs, and derived summaries should be shared only if allowed by the dataset terms and only if they do not reveal restricted dataset content.</w:t>
      </w:r>
    </w:p>
    <w:p>
      <w:pPr>
        <w:pStyle w:val="Heading2"/>
      </w:pPr>
      <w:r>
        <w:t>9. Ethics and Data Use</w:t>
      </w:r>
    </w:p>
    <w:p>
      <w:pPr>
        <w:spacing w:after="120" w:line="259" w:lineRule="auto"/>
      </w:pPr>
      <w:r>
        <w:rPr>
          <w:rFonts w:ascii="Times New Roman" w:hAnsi="Times New Roman" w:eastAsia="Times New Roman"/>
          <w:sz w:val="22"/>
        </w:rPr>
        <w:t>The authors did not collect new human-subject data for this study. Experiments use HOT3D-Clips, a third-party dataset distributed by its original providers. The raw dataset, video frames, WebDataset shards, object models, annotations, and restricted dataset files are not redistributed in this submission package.</w:t>
      </w:r>
    </w:p>
    <w:p>
      <w:pPr>
        <w:spacing w:after="120" w:line="259" w:lineRule="auto"/>
      </w:pPr>
      <w:r>
        <w:rPr>
          <w:rFonts w:ascii="Times New Roman" w:hAnsi="Times New Roman" w:eastAsia="Times New Roman"/>
          <w:sz w:val="22"/>
        </w:rPr>
        <w:t>Users must obtain HOT3D-Clips through the official access route and comply with the dataset license, access conditions, citation requirements, and data-use terms. The derived proxy-label protocol and sample-index generation scripts are intended to be reproducible by authorized users with their own downloaded copy of the dataset.</w:t>
      </w:r>
    </w:p>
    <w:p>
      <w:pPr>
        <w:pStyle w:val="Heading2"/>
      </w:pPr>
      <w:r>
        <w:t>10. Conflict of Interest</w:t>
      </w:r>
    </w:p>
    <w:p>
      <w:pPr>
        <w:spacing w:after="120" w:line="259" w:lineRule="auto"/>
      </w:pPr>
      <w:r>
        <w:rPr>
          <w:rFonts w:ascii="Times New Roman" w:hAnsi="Times New Roman" w:eastAsia="Times New Roman"/>
          <w:sz w:val="22"/>
        </w:rPr>
        <w:t>The authors declare no competing interests.</w:t>
      </w:r>
    </w:p>
    <w:p>
      <w:pPr>
        <w:pStyle w:val="Heading2"/>
      </w:pPr>
      <w:r>
        <w:t>11. Funding</w:t>
      </w:r>
    </w:p>
    <w:p>
      <w:pPr>
        <w:spacing w:after="120" w:line="259" w:lineRule="auto"/>
      </w:pPr>
      <w:r>
        <w:rPr>
          <w:rFonts w:ascii="Times New Roman" w:hAnsi="Times New Roman" w:eastAsia="Times New Roman"/>
          <w:sz w:val="22"/>
        </w:rPr>
        <w:t>This research did not receive any specific grant from funding agencies in the public, commercial, or not-for-profit sectors.</w:t>
      </w:r>
    </w:p>
    <w:p>
      <w:pPr>
        <w:pStyle w:val="Heading2"/>
      </w:pPr>
      <w:r>
        <w:t>12. Acknowledgments</w:t>
      </w:r>
    </w:p>
    <w:p>
      <w:pPr>
        <w:spacing w:after="120" w:line="259" w:lineRule="auto"/>
      </w:pPr>
      <w:r>
        <w:rPr>
          <w:rFonts w:ascii="Times New Roman" w:hAnsi="Times New Roman" w:eastAsia="Times New Roman"/>
          <w:sz w:val="22"/>
        </w:rPr>
        <w:t>No specific funding was received for this work. No additional acknowledgments were provided.</w:t>
      </w:r>
    </w:p>
    <w:p>
      <w:pPr>
        <w:pStyle w:val="Heading2"/>
      </w:pPr>
      <w:r>
        <w:t>13. Conclusion</w:t>
      </w:r>
    </w:p>
    <w:p>
      <w:pPr>
        <w:spacing w:after="120" w:line="259" w:lineRule="auto"/>
      </w:pPr>
      <w:r>
        <w:rPr>
          <w:rFonts w:ascii="Times New Roman" w:hAnsi="Times New Roman" w:eastAsia="Times New Roman"/>
          <w:sz w:val="22"/>
        </w:rPr>
        <w:t>PreHOI-Rank frames pre-contact hand-object target forecasting as candidate ranking over visible objects. The formulation combines derived affordance-grounded proxy labels, observation-frame-only inputs, stable candidate ordering, and clip-level splitting to reduce common leakage paths in temporal forecasting. On the current 50-clip local HOT3D-Clips subset, the order-safe candidate ranker produces stable five-seed paper-candidate diagnostics and improves over the earlier 25-clip pilot. The work is not a complete-dataset benchmark, but it provides a reproducible and cautious foundation for pre-contact hand-object candidate ranking.</w:t>
      </w:r>
    </w:p>
    <w:p>
      <w:pPr>
        <w:pStyle w:val="Heading2"/>
      </w:pPr>
      <w:r>
        <w:t>14. References Placeholder Note</w:t>
      </w:r>
    </w:p>
    <w:p>
      <w:pPr>
        <w:spacing w:after="120" w:line="259" w:lineRule="auto"/>
      </w:pPr>
      <w:r>
        <w:rPr>
          <w:rFonts w:ascii="Times New Roman" w:hAnsi="Times New Roman" w:eastAsia="Times New Roman"/>
          <w:sz w:val="22"/>
        </w:rPr>
        <w:t>References should be generated from references.bib after final citation and journal-style checks. The current draft uses citation-style placeholders such as [@hot3d2025] for Markdown/Pandoc-style processing.</w:t>
      </w:r>
    </w:p>
    <w:p>
      <w:r>
        <w:br w:type="page"/>
      </w:r>
    </w:p>
    <w:p>
      <w:pPr>
        <w:pStyle w:val="Heading2"/>
      </w:pPr>
      <w:r>
        <w:t>Figure Captions</w:t>
      </w:r>
    </w:p>
    <w:p>
      <w:pPr>
        <w:pStyle w:val="Heading1"/>
        <w:jc w:val="left"/>
      </w:pPr>
      <w:r>
        <w:t>Figure Caption List</w:t>
      </w:r>
    </w:p>
    <w:p>
      <w:pPr>
        <w:spacing w:after="120" w:line="259" w:lineRule="auto"/>
      </w:pPr>
      <w:r>
        <w:rPr>
          <w:rFonts w:ascii="Times New Roman" w:hAnsi="Times New Roman" w:eastAsia="Times New Roman"/>
          <w:sz w:val="22"/>
        </w:rPr>
        <w:t>Status: draft captions for the formatted submission package.</w:t>
      </w:r>
    </w:p>
    <w:p>
      <w:pPr>
        <w:pStyle w:val="Heading2"/>
      </w:pPr>
      <w:r>
        <w:t>Figure 1</w:t>
      </w:r>
    </w:p>
    <w:p>
      <w:pPr>
        <w:spacing w:after="120" w:line="259" w:lineRule="auto"/>
      </w:pPr>
      <w:r>
        <w:rPr>
          <w:rFonts w:ascii="Times New Roman" w:hAnsi="Times New Roman" w:eastAsia="Times New Roman"/>
          <w:sz w:val="22"/>
        </w:rPr>
        <w:t>Figure 1. Pre-contact candidate-ranking setup. Given an observation window, PreHOI-Rank ranks visible object candidates as likely future hand-object targets. The forecast frame is used only to define a derived proxy target and is not used as model input.</w:t>
      </w:r>
    </w:p>
    <w:p>
      <w:pPr>
        <w:spacing w:after="120" w:line="259" w:lineRule="auto"/>
      </w:pPr>
      <w:r>
        <w:rPr>
          <w:rFonts w:ascii="Times New Roman" w:hAnsi="Times New Roman" w:eastAsia="Times New Roman"/>
          <w:sz w:val="22"/>
        </w:rPr>
        <w:t>Files:</w:t>
      </w:r>
    </w:p>
    <w:p>
      <w:pPr>
        <w:pStyle w:val="ListBullet"/>
      </w:pPr>
      <w:r>
        <w:rPr>
          <w:rFonts w:ascii="Times New Roman" w:hAnsi="Times New Roman" w:eastAsia="Times New Roman"/>
          <w:sz w:val="22"/>
        </w:rPr>
        <w:t>fig1_problem_overview.png</w:t>
      </w:r>
    </w:p>
    <w:p>
      <w:pPr>
        <w:pStyle w:val="ListBullet"/>
      </w:pPr>
      <w:r>
        <w:rPr>
          <w:rFonts w:ascii="Times New Roman" w:hAnsi="Times New Roman" w:eastAsia="Times New Roman"/>
          <w:sz w:val="22"/>
        </w:rPr>
        <w:t>fig1_problem_overview.pdf</w:t>
      </w:r>
    </w:p>
    <w:p>
      <w:pPr>
        <w:pStyle w:val="Heading2"/>
      </w:pPr>
      <w:r>
        <w:t>Figure 2</w:t>
      </w:r>
    </w:p>
    <w:p>
      <w:pPr>
        <w:spacing w:after="120" w:line="259" w:lineRule="auto"/>
      </w:pPr>
      <w:r>
        <w:rPr>
          <w:rFonts w:ascii="Times New Roman" w:hAnsi="Times New Roman" w:eastAsia="Times New Roman"/>
          <w:sz w:val="22"/>
        </w:rPr>
        <w:t>Figure 2. Derived target-object proxy construction. The proxy target is selected at the forecast frame using hand-object box overlap and normalized center distance. These forecast-frame quantities define the supervised target only and are excluded from model inputs.</w:t>
      </w:r>
    </w:p>
    <w:p>
      <w:pPr>
        <w:spacing w:after="120" w:line="259" w:lineRule="auto"/>
      </w:pPr>
      <w:r>
        <w:rPr>
          <w:rFonts w:ascii="Times New Roman" w:hAnsi="Times New Roman" w:eastAsia="Times New Roman"/>
          <w:sz w:val="22"/>
        </w:rPr>
        <w:t>Files:</w:t>
      </w:r>
    </w:p>
    <w:p>
      <w:pPr>
        <w:pStyle w:val="ListBullet"/>
      </w:pPr>
      <w:r>
        <w:rPr>
          <w:rFonts w:ascii="Times New Roman" w:hAnsi="Times New Roman" w:eastAsia="Times New Roman"/>
          <w:sz w:val="22"/>
        </w:rPr>
        <w:t>fig2_proxy_label_generation.png</w:t>
      </w:r>
    </w:p>
    <w:p>
      <w:pPr>
        <w:pStyle w:val="ListBullet"/>
      </w:pPr>
      <w:r>
        <w:rPr>
          <w:rFonts w:ascii="Times New Roman" w:hAnsi="Times New Roman" w:eastAsia="Times New Roman"/>
          <w:sz w:val="22"/>
        </w:rPr>
        <w:t>fig2_proxy_label_generation.pdf</w:t>
      </w:r>
    </w:p>
    <w:p>
      <w:pPr>
        <w:pStyle w:val="Heading2"/>
      </w:pPr>
      <w:r>
        <w:t>Figure 3</w:t>
      </w:r>
    </w:p>
    <w:p>
      <w:pPr>
        <w:spacing w:after="120" w:line="259" w:lineRule="auto"/>
      </w:pPr>
      <w:r>
        <w:rPr>
          <w:rFonts w:ascii="Times New Roman" w:hAnsi="Times New Roman" w:eastAsia="Times New Roman"/>
          <w:sz w:val="22"/>
        </w:rPr>
        <w:t>Figure 3. PreHOI-Rank model overview. The model encodes observation-window metadata and object candidates, ranks visible candidates with a masked scoring head, and regresses a future hand-pose vector. The current strongest model does not require vision-language features.</w:t>
      </w:r>
    </w:p>
    <w:p>
      <w:pPr>
        <w:spacing w:after="120" w:line="259" w:lineRule="auto"/>
      </w:pPr>
      <w:r>
        <w:rPr>
          <w:rFonts w:ascii="Times New Roman" w:hAnsi="Times New Roman" w:eastAsia="Times New Roman"/>
          <w:sz w:val="22"/>
        </w:rPr>
        <w:t>Files:</w:t>
      </w:r>
    </w:p>
    <w:p>
      <w:pPr>
        <w:pStyle w:val="ListBullet"/>
      </w:pPr>
      <w:r>
        <w:rPr>
          <w:rFonts w:ascii="Times New Roman" w:hAnsi="Times New Roman" w:eastAsia="Times New Roman"/>
          <w:sz w:val="22"/>
        </w:rPr>
        <w:t>fig3_prehoi_rank_architecture.png</w:t>
      </w:r>
    </w:p>
    <w:p>
      <w:pPr>
        <w:pStyle w:val="ListBullet"/>
      </w:pPr>
      <w:r>
        <w:rPr>
          <w:rFonts w:ascii="Times New Roman" w:hAnsi="Times New Roman" w:eastAsia="Times New Roman"/>
          <w:sz w:val="22"/>
        </w:rPr>
        <w:t>fig3_prehoi_rank_architecture.pdf</w:t>
      </w:r>
    </w:p>
    <w:p>
      <w:pPr>
        <w:pStyle w:val="Heading2"/>
      </w:pPr>
      <w:r>
        <w:t>Figure 4</w:t>
      </w:r>
    </w:p>
    <w:p>
      <w:pPr>
        <w:spacing w:after="120" w:line="259" w:lineRule="auto"/>
      </w:pPr>
      <w:r>
        <w:rPr>
          <w:rFonts w:ascii="Times New Roman" w:hAnsi="Times New Roman" w:eastAsia="Times New Roman"/>
          <w:sz w:val="22"/>
        </w:rPr>
        <w:t>Figure 4. Evaluation safety protocol. Valid runs use clip-level splits, observation-frame inputs, stable UID candidate ordering, and position baselines. Runs with forecast-frame inputs or target-aware candidate ordering are excluded.</w:t>
      </w:r>
    </w:p>
    <w:p>
      <w:pPr>
        <w:spacing w:after="120" w:line="259" w:lineRule="auto"/>
      </w:pPr>
      <w:r>
        <w:rPr>
          <w:rFonts w:ascii="Times New Roman" w:hAnsi="Times New Roman" w:eastAsia="Times New Roman"/>
          <w:sz w:val="22"/>
        </w:rPr>
        <w:t>Files:</w:t>
      </w:r>
    </w:p>
    <w:p>
      <w:pPr>
        <w:pStyle w:val="ListBullet"/>
      </w:pPr>
      <w:r>
        <w:rPr>
          <w:rFonts w:ascii="Times New Roman" w:hAnsi="Times New Roman" w:eastAsia="Times New Roman"/>
          <w:sz w:val="22"/>
        </w:rPr>
        <w:t>fig4_protocol_safety.png</w:t>
      </w:r>
    </w:p>
    <w:p>
      <w:pPr>
        <w:pStyle w:val="ListBullet"/>
      </w:pPr>
      <w:r>
        <w:rPr>
          <w:rFonts w:ascii="Times New Roman" w:hAnsi="Times New Roman" w:eastAsia="Times New Roman"/>
          <w:sz w:val="22"/>
        </w:rPr>
        <w:t>fig4_protocol_safety.pdf</w:t>
      </w:r>
    </w:p>
    <w:p>
      <w:pPr>
        <w:pStyle w:val="Heading2"/>
      </w:pPr>
      <w:r>
        <w:t>Figure 5</w:t>
      </w:r>
    </w:p>
    <w:p>
      <w:pPr>
        <w:spacing w:after="120" w:line="259" w:lineRule="auto"/>
      </w:pPr>
      <w:r>
        <w:rPr>
          <w:rFonts w:ascii="Times New Roman" w:hAnsi="Times New Roman" w:eastAsia="Times New Roman"/>
          <w:sz w:val="22"/>
        </w:rPr>
        <w:t>Figure 5. Candidate-ranker protocol diagnostics across 25, 50, and 75 local HOT3D-Clips subsets. Expanding from 25 to 50 local shards improves Top-1 candidate accuracy, MRR, and pose-vector MAE under the same order-safe candidate-ranking formulation. The 75-clip robustness split increases data scale and class diversity but is harder and less balanced; it maintains high Top-3 performance while Top-1, MRR, and pose-vector MAE are weaker than the 50-clip primary protocol. Bars show mean values with seed-standard-deviation error bars where available. Lower is better for pose-vector MAE.</w:t>
      </w:r>
    </w:p>
    <w:p>
      <w:pPr>
        <w:spacing w:after="120" w:line="259" w:lineRule="auto"/>
      </w:pPr>
      <w:r>
        <w:rPr>
          <w:rFonts w:ascii="Times New Roman" w:hAnsi="Times New Roman" w:eastAsia="Times New Roman"/>
          <w:sz w:val="22"/>
        </w:rPr>
        <w:t>Files:</w:t>
      </w:r>
    </w:p>
    <w:p>
      <w:pPr>
        <w:pStyle w:val="ListBullet"/>
      </w:pPr>
      <w:r>
        <w:rPr>
          <w:rFonts w:ascii="Times New Roman" w:hAnsi="Times New Roman" w:eastAsia="Times New Roman"/>
          <w:sz w:val="22"/>
        </w:rPr>
        <w:t>fig5_25clip_vs_50clip_results.png</w:t>
      </w:r>
    </w:p>
    <w:p>
      <w:pPr>
        <w:pStyle w:val="ListBullet"/>
      </w:pPr>
      <w:r>
        <w:rPr>
          <w:rFonts w:ascii="Times New Roman" w:hAnsi="Times New Roman" w:eastAsia="Times New Roman"/>
          <w:sz w:val="22"/>
        </w:rPr>
        <w:t>fig5_25clip_vs_50clip_results.pdf</w:t>
      </w:r>
    </w:p>
    <w:p>
      <w:pPr>
        <w:pStyle w:val="Heading2"/>
      </w:pPr>
      <w:r>
        <w:t>Table Captions</w:t>
      </w:r>
    </w:p>
    <w:p>
      <w:pPr>
        <w:pStyle w:val="Heading1"/>
        <w:jc w:val="left"/>
      </w:pPr>
      <w:r>
        <w:t>Table Caption List</w:t>
      </w:r>
    </w:p>
    <w:p>
      <w:pPr>
        <w:spacing w:after="120" w:line="259" w:lineRule="auto"/>
      </w:pPr>
      <w:r>
        <w:rPr>
          <w:rFonts w:ascii="Times New Roman" w:hAnsi="Times New Roman" w:eastAsia="Times New Roman"/>
          <w:sz w:val="22"/>
        </w:rPr>
        <w:t>Status: draft captions for the formatted submission package.</w:t>
      </w:r>
    </w:p>
    <w:p>
      <w:pPr>
        <w:pStyle w:val="Heading2"/>
      </w:pPr>
      <w:r>
        <w:t>Table 1</w:t>
      </w:r>
    </w:p>
    <w:p>
      <w:pPr>
        <w:spacing w:after="120" w:line="259" w:lineRule="auto"/>
      </w:pPr>
      <w:r>
        <w:rPr>
          <w:rFonts w:ascii="Times New Roman" w:hAnsi="Times New Roman" w:eastAsia="Times New Roman"/>
          <w:sz w:val="22"/>
        </w:rPr>
        <w:t>Table 1. PreHOI-Rank candidate-ranker diagnostics on local HOT3D-Clips subsets. The table reports the 50-clip five-seed primary result, per-seed diagnostics, a 25/50/75 clip scale comparison, and candidate-position baselines. The 75-clip setting is reported as a robustness/scalability check rather than replacing the 50-clip primary result.</w:t>
      </w:r>
    </w:p>
    <w:p>
      <w:pPr>
        <w:spacing w:after="120" w:line="259" w:lineRule="auto"/>
      </w:pPr>
      <w:r>
        <w:rPr>
          <w:rFonts w:ascii="Times New Roman" w:hAnsi="Times New Roman" w:eastAsia="Times New Roman"/>
          <w:sz w:val="22"/>
        </w:rPr>
        <w:t>Source file:</w:t>
      </w:r>
    </w:p>
    <w:p>
      <w:pPr>
        <w:pStyle w:val="ListBullet"/>
      </w:pPr>
      <w:r>
        <w:rPr>
          <w:rFonts w:ascii="Times New Roman" w:hAnsi="Times New Roman" w:eastAsia="Times New Roman"/>
          <w:sz w:val="22"/>
        </w:rPr>
        <w:t>tables/results_table_prehoi_rank.md</w:t>
      </w:r>
    </w:p>
    <w:p>
      <w:pPr>
        <w:pStyle w:val="Heading2"/>
      </w:pPr>
      <w:r>
        <w:t>Table 2</w:t>
      </w:r>
    </w:p>
    <w:p>
      <w:pPr>
        <w:spacing w:after="120" w:line="259" w:lineRule="auto"/>
      </w:pPr>
      <w:r>
        <w:rPr>
          <w:rFonts w:ascii="Times New Roman" w:hAnsi="Times New Roman" w:eastAsia="Times New Roman"/>
          <w:sz w:val="22"/>
        </w:rPr>
        <w:t>Table 2. Protocol safety checks for leakage-safe candidate ranking. The table summarizes forecast-frame input exclusion, target-proxy use, stable UID candidate ordering, clip-level splitting, candidate-order bias diagnostics, and remaining split warnings.</w:t>
      </w:r>
    </w:p>
    <w:p>
      <w:pPr>
        <w:spacing w:after="120" w:line="259" w:lineRule="auto"/>
      </w:pPr>
      <w:r>
        <w:rPr>
          <w:rFonts w:ascii="Times New Roman" w:hAnsi="Times New Roman" w:eastAsia="Times New Roman"/>
          <w:sz w:val="22"/>
        </w:rPr>
        <w:t>Source file:</w:t>
      </w:r>
    </w:p>
    <w:p>
      <w:pPr>
        <w:pStyle w:val="ListBullet"/>
      </w:pPr>
      <w:r>
        <w:rPr>
          <w:rFonts w:ascii="Times New Roman" w:hAnsi="Times New Roman" w:eastAsia="Times New Roman"/>
          <w:sz w:val="22"/>
        </w:rPr>
        <w:t>tables/protocol_safety_table.md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PreHOI-Rank Manuscript Draft</dc:title>
  <dc:subject/>
  <dc:creator>Al Jubair Hossain</dc:creator>
  <cp:keywords/>
  <dc:description>generated by python-docx</dc:description>
  <cp:lastModifiedBy/>
  <cp:revision>1</cp:revision>
  <dcterms:created xsi:type="dcterms:W3CDTF">2013-12-23T23:15:00Z</dcterms:created>
  <dcterms:modified xsi:type="dcterms:W3CDTF">2013-12-23T23:15:00Z</dcterms:modified>
  <cp:category/>
</cp:coreProperties>
</file>