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2"/>
        </w:rPr>
        <w:t>Table 2. Main paired statistical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target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comparator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metric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n_pairs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mean_diff_target_minus_comparator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bootstrap_ci_low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bootstrap_ci_high</w:t>
            </w:r>
          </w:p>
        </w:tc>
        <w:tc>
          <w:tcPr>
            <w:tcW w:type="dxa" w:w="1818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3"/>
              </w:rPr>
              <w:t>wilcoxon_p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psnr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1.134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0.8663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1.406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1.643e-14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ssim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0.066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0.05206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0.08028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1.265e-15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lpips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-0.04235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-0.05104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-0.03385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3.48e-18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psnr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-1.634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-1.909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-1.353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1.395e-24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ssim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-0.06029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-0.07457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-0.04547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3.329e-14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lpips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0.04571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0.03513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0.05639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4.058e-16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random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psnr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-2.251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-2.722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-1.795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1.032e-18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random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ssim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-0.07896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-0.1008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-0.05751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6.486e-11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random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lpips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0.05936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0.04386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0.07529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3.5e-12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uniform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psnr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-1.84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-2.249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-1.443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5.082e-19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uniform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ssim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-0.07539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-0.09471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-0.05565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5.412e-12</w:t>
            </w:r>
          </w:p>
        </w:tc>
      </w:tr>
      <w:tr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quality_image_diverse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uniform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lpips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480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0.04872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0.03489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0.06255</w:t>
            </w:r>
          </w:p>
        </w:tc>
        <w:tc>
          <w:tcPr>
            <w:tcW w:type="dxa" w:w="181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3"/>
              </w:rPr>
              <w:t>1.693e-10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