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80041">
      <w:pPr>
        <w:pStyle w:val="31"/>
        <w:widowControl/>
      </w:pPr>
      <w:r>
        <w:rPr>
          <w:rFonts w:eastAsia="宋体" w:ascii="Times New Roman" w:hAnsi="Times New Roman" w:cs="Times New Roman"/>
        </w:rPr>
        <w:t>澄川精密制造工时核算口径</w:t>
      </w:r>
    </w:p>
    <w:p w14:paraId="29CE2C53">
      <w:pPr>
        <w:pStyle w:val="26"/>
        <w:widowControl/>
      </w:pPr>
      <w:r>
        <w:rPr>
          <w:rFonts w:eastAsia="宋体" w:ascii="Times New Roman" w:hAnsi="Times New Roman" w:cs="Times New Roman"/>
        </w:rPr>
        <w:t>适用期间  2026年8月1日至9月30日</w:t>
      </w:r>
    </w:p>
    <w:p w14:paraId="5A7D239E">
      <w:pPr>
        <w:widowControl/>
      </w:pPr>
      <w:r>
        <w:rPr>
          <w:rFonts w:eastAsia="宋体" w:ascii="Times New Roman" w:hAnsi="Times New Roman" w:cs="Times New Roman"/>
        </w:rPr>
        <w:t>本次月结按人员任职、部门归属、实际生效的排班和审批记录核算工时，区分能够确认的分钟数与仍需补证的事项。核算结果用于人事复核及部门负荷分析，不直接认定旷工，不计算工资或加班工资。</w:t>
      </w:r>
    </w:p>
    <w:p w14:paraId="660FF3E5">
      <w:pPr>
        <w:pStyle w:val="3"/>
        <w:widowControl/>
      </w:pPr>
      <w:bookmarkStart w:id="0" w:name="_GoBack"/>
      <w:bookmarkEnd w:id="0"/>
      <w:r>
        <w:rPr>
          <w:rFonts w:eastAsia="宋体" w:ascii="Times New Roman" w:hAnsi="Times New Roman" w:cs="Times New Roman"/>
        </w:rPr>
        <w:t>核算范围与时间</w:t>
      </w:r>
    </w:p>
    <w:p w14:paraId="53EDA765">
      <w:pPr>
        <w:widowControl/>
      </w:pPr>
      <w:r>
        <w:rPr>
          <w:rFonts w:eastAsia="宋体" w:ascii="Times New Roman" w:hAnsi="Times New Roman" w:cs="Times New Roman"/>
        </w:rPr>
        <w:t>人员以《员工与组织信息.xlsx》的“人员名册”为准，共240人。每日明细覆盖每名员工从2026年8月1日至9月30日的61个日期，共14640个人员日期组合；任职范围外仍保留一行并标为“不适用”。部门包括生产一部、生产二部、质量管理部、仓储物流部、设备维护部和综合管理部。</w:t>
      </w:r>
    </w:p>
    <w:p w14:paraId="01CE62C7">
      <w:pPr>
        <w:widowControl/>
      </w:pPr>
      <w:r>
        <w:rPr>
          <w:rFonts w:eastAsia="宋体" w:ascii="Times New Roman" w:hAnsi="Times New Roman" w:cs="Times New Roman"/>
        </w:rPr>
        <w:t>封账时点为2026年10月5日18:00。全部时间采用北京时间，精确到分钟。不同系统导出的日期可能是电子表格日期，也可能是带斜杠的日期时间文本，均按字段含义读取。时间区间包含开始时刻、不包含结束时刻，相邻边界不重复计时。员工入职日、离职日以及部门任职的生效日、截止日均包含当天；离职日期空白表示仍在职。</w:t>
      </w:r>
    </w:p>
    <w:p w14:paraId="21D85E10">
      <w:pPr>
        <w:widowControl/>
      </w:pPr>
      <w:r>
        <w:rPr>
          <w:rFonts w:eastAsia="宋体" w:ascii="Times New Roman" w:hAnsi="Times New Roman" w:cs="Times New Roman"/>
        </w:rPr>
        <w:t>工时按资料中的业务“归属日期”归属，部门按该日期的部门任职确定。默认周一至周五工作，周末休息；批准调班可覆盖原始排班，最终以有效班次为准，不另行套用法定节假日安排。原始打卡读取范围延伸至7月31日至10月1日，包含期间外记录；本次是否纳入仍以“归属日期”在8月至9月为准，不能仅按工作表月份筛选。</w:t>
      </w:r>
    </w:p>
    <w:p w14:paraId="5FDFE58C">
      <w:pPr>
        <w:pStyle w:val="3"/>
        <w:widowControl/>
      </w:pPr>
      <w:r>
        <w:rPr>
          <w:rFonts w:eastAsia="宋体" w:ascii="Times New Roman" w:hAnsi="Times New Roman" w:cs="Times New Roman"/>
        </w:rPr>
        <w:t>材料与身份</w:t>
      </w:r>
    </w:p>
    <w:p w14:paraId="24A4C2FC">
      <w:pPr>
        <w:widowControl/>
      </w:pPr>
      <w:r>
        <w:rPr>
          <w:rFonts w:eastAsia="宋体" w:ascii="Times New Roman" w:hAnsi="Times New Roman" w:cs="Times New Roman"/>
        </w:rPr>
        <w:t>本次资料包含《员工与组织信息.xlsx》《月度排班计划.xlsx》《原始打卡记录.xlsx》《请假加班与审批记录.xlsx》、本口径和《月结交付说明.md》。文件均保留原样，整理结果另存。</w:t>
      </w:r>
    </w:p>
    <w:p w14:paraId="1703A74C">
      <w:pPr>
        <w:widowControl/>
      </w:pPr>
      <w:r>
        <w:rPr>
          <w:rFonts w:eastAsia="宋体" w:ascii="Times New Roman" w:hAnsi="Times New Roman" w:cs="Times New Roman"/>
        </w:rPr>
        <w:t>“员工编号”是人员关联依据，采用“工号”加数字的形式，按入职日期先后顺序发放；同日入职按固定登记顺序排列，部门异动不改号，离职后不回收。姓名只用于展示和核对，同名不能合并成同一人。部门任职区间在在岗日期内连续且不重叠，不能用当前部门替代历史部门。未知员工编号保留原始来源及异常记录，不加入240人的每日明细。</w:t>
      </w:r>
    </w:p>
    <w:p w14:paraId="431359DA">
      <w:r>
        <w:rPr>
          <w:rFonts w:eastAsia="宋体" w:ascii="Times New Roman" w:hAnsi="Times New Roman" w:cs="Times New Roman"/>
        </w:rPr>
        <w:br w:type="page"/>
      </w:r>
    </w:p>
    <w:p w14:paraId="1DAF1826">
      <w:pPr>
        <w:pStyle w:val="3"/>
        <w:widowControl/>
      </w:pPr>
      <w:r>
        <w:rPr>
          <w:rFonts w:eastAsia="宋体" w:ascii="Times New Roman" w:hAnsi="Times New Roman" w:cs="Times New Roman"/>
        </w:rPr>
        <w:t>排班表的读取范围</w:t>
      </w:r>
    </w:p>
    <w:p w14:paraId="3F0CC576">
      <w:pPr>
        <w:widowControl/>
      </w:pPr>
      <w:r>
        <w:rPr>
          <w:rFonts w:eastAsia="宋体" w:ascii="Times New Roman" w:hAnsi="Times New Roman" w:cs="Times New Roman"/>
        </w:rPr>
        <w:t>《月度排班计划.xlsx》含“班次定义”和各部门各月份的12张月表。每名员工一行，每个日期一列；第5行为日期表头，第6行为星期，第7行起为员工排班。A列为员工编号，B列为姓名，C列起为当月日期。各月表B2为整表排班版本1，第1至4行为标题、版本及说明，不作为人员记录。</w:t>
      </w:r>
    </w:p>
    <w:p w14:paraId="74CBAED8">
      <w:pPr>
        <w:widowControl/>
      </w:pPr>
      <w:r>
        <w:rPr>
          <w:rFonts w:eastAsia="宋体" w:ascii="Times New Roman" w:hAnsi="Times New Roman" w:cs="Times New Roman"/>
        </w:rPr>
        <w:t>“标准日班”“休息”表示原始安排；“未入职”“已离职”表示当天不在公司任职范围内，日明细标“不适用”。“调入前”“已调出”表示当天不属于该部门，应按有效任职区间到实际部门表读取。同一员工同一天只采用一份原始排班，其他部门的占位格不重复生成日明细或排班来源记录。</w:t>
      </w:r>
    </w:p>
    <w:p w14:paraId="41B9223B">
      <w:pPr>
        <w:pStyle w:val="3"/>
        <w:widowControl/>
      </w:pPr>
      <w:r>
        <w:rPr>
          <w:rFonts w:eastAsia="宋体" w:ascii="Times New Roman" w:hAnsi="Times New Roman" w:cs="Times New Roman"/>
        </w:rPr>
        <w:t>审批与调班的生效顺序</w:t>
      </w:r>
    </w:p>
    <w:p w14:paraId="31AA34BF">
      <w:pPr>
        <w:widowControl/>
      </w:pPr>
      <w:r>
        <w:rPr>
          <w:rFonts w:eastAsia="宋体" w:ascii="Times New Roman" w:hAnsi="Times New Roman" w:cs="Times New Roman"/>
        </w:rPr>
        <w:t>《请假加班与审批记录.xlsx》中的“申请单”保存请假、加班、调班和零工时确认的申请内容，“审批流水”保存状态变更。每份申请只绑定一个归属日期。“开始时间”“结束时间”是事项发生区间，“申请时间”是提交时刻；以“申请类型”区分请假与加班。先按审批流水编号识别重复导出，同一申请的同一版本只对应一个状态。</w:t>
      </w:r>
    </w:p>
    <w:p w14:paraId="56263537">
      <w:pPr>
        <w:widowControl/>
      </w:pPr>
      <w:r>
        <w:rPr>
          <w:rFonts w:eastAsia="宋体" w:ascii="Times New Roman" w:hAnsi="Times New Roman" w:cs="Times New Roman"/>
        </w:rPr>
        <w:t>对于每份申请，先排除处理时间晚于封账时点的流水，再取剩余流水的最高版本作为本次最终状态。状态为“待审批”“已批准”“已驳回”“已撤销”，只有“已批准”生效。封账前没有流水时，最新版本记0，明确表示尚无已记录版本，最终状态“待审批”，不生效。封账后流水保留来源并标“截止后记录”，不倒推改变本次月结。</w:t>
      </w:r>
    </w:p>
    <w:p w14:paraId="38B20B0B">
      <w:pPr>
        <w:widowControl/>
      </w:pPr>
      <w:r>
        <w:rPr>
          <w:rFonts w:eastAsia="宋体" w:ascii="Times New Roman" w:hAnsi="Times New Roman" w:cs="Times New Roman"/>
        </w:rPr>
        <w:t>调班仅在“标准日班”和“休息”之间调整，用于补班或调休，不能改变工作日09:00至18:00的起止时间。已批准调班覆盖原始排班。同一员工同一归属日若有多份已批准调班，取最后批准处理时间的一份；时间相同则取申请编号按文本排序最大的一份。后一份撤销后，回退到仍有效的较早已批准调班；没有有效调班才使用原班次。生效判定用“生效”“不生效”“被后续调班替代”，后一项用于仍已批准但被另一份调班取代的申请。所有申请均保留最新状态。</w:t>
      </w:r>
    </w:p>
    <w:p w14:paraId="2CAA3639">
      <w:pPr>
        <w:pStyle w:val="3"/>
        <w:widowControl/>
      </w:pPr>
      <w:r>
        <w:rPr>
          <w:rFonts w:eastAsia="宋体" w:ascii="Times New Roman" w:hAnsi="Times New Roman" w:cs="Times New Roman"/>
        </w:rPr>
        <w:t>班次与固定休息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3312"/>
        <w:gridCol w:w="2880"/>
        <w:gridCol w:w="1512"/>
      </w:tblGrid>
      <w:tr w14:paraId="57BB7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shd w:val="clear" w:color="auto" w:fill="E9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20743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班次</w:t>
            </w:r>
          </w:p>
        </w:tc>
        <w:tc>
          <w:tcPr>
            <w:tcW w:w="331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shd w:val="clear" w:color="auto" w:fill="E9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B1674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班次起止</w:t>
            </w:r>
          </w:p>
        </w:tc>
        <w:tc>
          <w:tcPr>
            <w:tcW w:w="2880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shd w:val="clear" w:color="auto" w:fill="E9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E8228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固定休息</w:t>
            </w:r>
          </w:p>
        </w:tc>
        <w:tc>
          <w:tcPr>
            <w:tcW w:w="151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shd w:val="clear" w:color="auto" w:fill="E9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B5E53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计划分钟</w:t>
            </w:r>
          </w:p>
        </w:tc>
      </w:tr>
      <w:tr w14:paraId="4FB99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F7D7F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标准日班</w:t>
            </w:r>
          </w:p>
        </w:tc>
        <w:tc>
          <w:tcPr>
            <w:tcW w:w="331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0195A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当日09:00至18:00</w:t>
            </w:r>
          </w:p>
        </w:tc>
        <w:tc>
          <w:tcPr>
            <w:tcW w:w="2880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10016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当日12:00至13:00</w:t>
            </w:r>
          </w:p>
        </w:tc>
        <w:tc>
          <w:tcPr>
            <w:tcW w:w="151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F0EE9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480</w:t>
            </w:r>
          </w:p>
        </w:tc>
      </w:tr>
      <w:tr w14:paraId="5BE2B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990FE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休息</w:t>
            </w:r>
          </w:p>
        </w:tc>
        <w:tc>
          <w:tcPr>
            <w:tcW w:w="331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AB08C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无班次区间</w:t>
            </w:r>
          </w:p>
        </w:tc>
        <w:tc>
          <w:tcPr>
            <w:tcW w:w="2880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1C373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无</w:t>
            </w:r>
          </w:p>
        </w:tc>
        <w:tc>
          <w:tcPr>
            <w:tcW w:w="151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293CA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0</w:t>
            </w:r>
          </w:p>
        </w:tc>
      </w:tr>
    </w:tbl>
    <w:p w14:paraId="5F2593BD">
      <w:pPr>
        <w:widowControl/>
      </w:pPr>
    </w:p>
    <w:p w14:paraId="2108A34F">
      <w:pPr>
        <w:widowControl/>
      </w:pPr>
      <w:r>
        <w:rPr>
          <w:rFonts w:eastAsia="宋体" w:ascii="Times New Roman" w:hAnsi="Times New Roman" w:cs="Times New Roman"/>
        </w:rPr>
        <w:t>全部部门统一使用标准日班，09:00上班、18:00下班，扣除12:00至13:00午休后，计划分钟为480。有效排班为“休息”时，计划分钟为0。批准调班可以安排补班或调休，因此应使用该日最终有效班次，不能只按星期判断是否工作。标准日班完整起止区间扣除固定午休后，得到可工作时间集合。午休不计班内工时，也不能作为加班重复计入。</w:t>
      </w:r>
    </w:p>
    <w:p w14:paraId="683244EB">
      <w:r>
        <w:rPr>
          <w:rFonts w:eastAsia="宋体" w:ascii="Times New Roman" w:hAnsi="Times New Roman" w:cs="Times New Roman"/>
        </w:rPr>
        <w:br w:type="page"/>
      </w:r>
    </w:p>
    <w:p w14:paraId="27D57011">
      <w:pPr>
        <w:pStyle w:val="3"/>
        <w:widowControl/>
      </w:pPr>
      <w:r>
        <w:rPr>
          <w:rFonts w:eastAsia="宋体" w:ascii="Times New Roman" w:hAnsi="Times New Roman" w:cs="Times New Roman"/>
        </w:rPr>
        <w:t>打卡与分钟计算</w:t>
      </w:r>
    </w:p>
    <w:p w14:paraId="039723F4">
      <w:pPr>
        <w:pStyle w:val="4"/>
        <w:widowControl/>
      </w:pPr>
      <w:r>
        <w:rPr>
          <w:rFonts w:eastAsia="宋体" w:ascii="Times New Roman" w:hAnsi="Times New Roman" w:cs="Times New Roman"/>
        </w:rPr>
        <w:t>打卡区间</w:t>
      </w:r>
    </w:p>
    <w:p w14:paraId="42449CF2">
      <w:pPr>
        <w:widowControl/>
      </w:pPr>
      <w:r>
        <w:rPr>
          <w:rFonts w:eastAsia="宋体" w:ascii="Times New Roman" w:hAnsi="Times New Roman" w:cs="Times New Roman"/>
        </w:rPr>
        <w:t>《原始打卡记录.xlsx》按部门及打卡发生的自然月归档，包含本次期间以外的记录。记录自带“归属日期”，这是设备配置的业务日期，直接用于关联排班及判断核算月份；工作表名称只表示归档位置。相同打卡编号的重复导出全部字段一致，只按打卡编号去重；不同编号即使内容相同也保留。</w:t>
      </w:r>
    </w:p>
    <w:p w14:paraId="755BC179">
      <w:pPr>
        <w:widowControl/>
      </w:pPr>
      <w:r>
        <w:rPr>
          <w:rFonts w:eastAsia="宋体" w:ascii="Times New Roman" w:hAnsi="Times New Roman" w:cs="Times New Roman"/>
        </w:rPr>
        <w:t>同一员工同一归属日可以有多次同方向打卡。取最早一条“上班”和最晚一条“下班”形成区间，且上班必须早于下班。缺任一方向或顺序不成立时，不推断其实际在岗时长。</w:t>
      </w:r>
    </w:p>
    <w:p w14:paraId="79AE92F1">
      <w:pPr>
        <w:pStyle w:val="4"/>
        <w:widowControl/>
      </w:pPr>
      <w:r>
        <w:rPr>
          <w:rFonts w:eastAsia="宋体" w:ascii="Times New Roman" w:hAnsi="Times New Roman" w:cs="Times New Roman"/>
        </w:rPr>
        <w:t>有效请假与班内出勤</w:t>
      </w:r>
    </w:p>
    <w:p w14:paraId="0D948EC1">
      <w:pPr>
        <w:widowControl/>
      </w:pPr>
      <w:r>
        <w:rPr>
          <w:rFonts w:eastAsia="宋体" w:ascii="Times New Roman" w:hAnsi="Times New Roman" w:cs="Times New Roman"/>
        </w:rPr>
        <w:t>将所有生效请假的时间区间分别与可工作时间集合相交，再合并相交结果，得到有效请假。重叠请假只计算一次，不计入休息时间，也不处理带薪属性。</w:t>
      </w:r>
    </w:p>
    <w:p w14:paraId="06D030AC">
      <w:pPr>
        <w:widowControl/>
      </w:pPr>
      <w:r>
        <w:rPr>
          <w:rFonts w:eastAsia="宋体" w:ascii="Times New Roman" w:hAnsi="Times New Roman" w:cs="Times New Roman"/>
        </w:rPr>
        <w:t>打卡区间可以确认时，先取它与可工作时间集合的交集，再扣除有效请假，得到“班内出勤分钟”。员工在休息时间打卡不会增加班内出勤；在请假区间内有打卡时，也不重复计为班内出勤。</w:t>
      </w:r>
    </w:p>
    <w:p w14:paraId="1A0381F4">
      <w:pPr>
        <w:pStyle w:val="4"/>
        <w:widowControl/>
      </w:pPr>
      <w:r>
        <w:rPr>
          <w:rFonts w:eastAsia="宋体" w:ascii="Times New Roman" w:hAnsi="Times New Roman" w:cs="Times New Roman"/>
        </w:rPr>
        <w:t>批准加班</w:t>
      </w:r>
    </w:p>
    <w:p w14:paraId="2B2987B1">
      <w:pPr>
        <w:widowControl/>
      </w:pPr>
      <w:r>
        <w:rPr>
          <w:rFonts w:eastAsia="宋体" w:ascii="Times New Roman" w:hAnsi="Times New Roman" w:cs="Times New Roman"/>
        </w:rPr>
        <w:t>工作日加班从当日18:00正常下班后开始，申请起点不得早于18:00。将生效加班申请的区间合并，与可确认的打卡区间及18:00以后的时间范围相交，得到“批准加班分钟”。班前停留和午休均不计加班；班后停留没有生效申请的部分也不计加班。有效排班为“休息”时，按专项批准的加班区间与打卡区间的交集核算。</w:t>
      </w:r>
    </w:p>
    <w:p w14:paraId="0EF14028">
      <w:pPr>
        <w:pStyle w:val="4"/>
        <w:widowControl/>
      </w:pPr>
      <w:r>
        <w:rPr>
          <w:rFonts w:eastAsia="宋体" w:ascii="Times New Roman" w:hAnsi="Times New Roman" w:cs="Times New Roman"/>
        </w:rPr>
        <w:t>缺口与记录精度</w:t>
      </w:r>
    </w:p>
    <w:p w14:paraId="199F4942">
      <w:pPr>
        <w:widowControl/>
      </w:pPr>
      <w:r>
        <w:rPr>
          <w:rFonts w:eastAsia="宋体" w:ascii="Times New Roman" w:hAnsi="Times New Roman" w:cs="Times New Roman"/>
        </w:rPr>
        <w:t>能够确认出勤时，“缺口分钟”为计划分钟减有效请假分钟、再减班内出勤分钟，若结果小于零则取零。缺口只表示本次材料未覆盖的计划分钟，不等同于旷工。已被有效请假覆盖的时间不重复列为缺口。</w:t>
      </w:r>
    </w:p>
    <w:p w14:paraId="2E512034">
      <w:pPr>
        <w:widowControl/>
      </w:pPr>
      <w:r>
        <w:rPr>
          <w:rFonts w:eastAsia="宋体" w:ascii="Times New Roman" w:hAnsi="Times New Roman" w:cs="Times New Roman"/>
        </w:rPr>
        <w:t>全部正式工时字段保存整数分钟，不逐段舍入。可以附小时展示列，按分钟除以60保留两位小数；汇总仍以分钟为基础。占比保存0至1之间的数值，至少保留四位小数；分母为零时写“不适用”。</w:t>
      </w:r>
    </w:p>
    <w:p w14:paraId="39B88C18">
      <w:r>
        <w:rPr>
          <w:rFonts w:eastAsia="宋体" w:ascii="Times New Roman" w:hAnsi="Times New Roman" w:cs="Times New Roman"/>
        </w:rPr>
        <w:br w:type="page"/>
      </w:r>
    </w:p>
    <w:p w14:paraId="0B1E7493">
      <w:pPr>
        <w:pStyle w:val="3"/>
        <w:widowControl/>
      </w:pPr>
      <w:r>
        <w:rPr>
          <w:rFonts w:eastAsia="宋体" w:ascii="Times New Roman" w:hAnsi="Times New Roman" w:cs="Times New Roman"/>
        </w:rPr>
        <w:t>不确定事项与零工时</w:t>
      </w:r>
    </w:p>
    <w:p w14:paraId="30BE5083">
      <w:pPr>
        <w:widowControl/>
      </w:pPr>
      <w:r>
        <w:rPr>
          <w:rFonts w:eastAsia="宋体" w:ascii="Times New Roman" w:hAnsi="Times New Roman" w:cs="Times New Roman"/>
        </w:rPr>
        <w:t>出勤状态使用“已确认”“确认零工时”“休息日”“待核实”“不适用”。数值零表示已有材料支持零工时；“待核实”表示无法确认；“不适用”表示该指标不属于核算范围，三者不能互换。</w:t>
      </w:r>
    </w:p>
    <w:p w14:paraId="7EB0ABFF">
      <w:pPr>
        <w:widowControl/>
      </w:pPr>
      <w:r>
        <w:rPr>
          <w:rFonts w:eastAsia="宋体" w:ascii="Times New Roman" w:hAnsi="Times New Roman" w:cs="Times New Roman"/>
        </w:rPr>
        <w:t>先判断任职范围，再检查零工时确认与打卡是否冲突；无冲突时，先处理整班请假或零工时确认且无打卡的情形，最后按普通打卡与缺卡规则处理。以下“批准加班”均指存在本次生效的加班申请。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5357"/>
      </w:tblGrid>
      <w:tr w14:paraId="35C2A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9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shd w:val="clear" w:color="auto" w:fill="E9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07DF1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情形</w:t>
            </w:r>
          </w:p>
        </w:tc>
        <w:tc>
          <w:tcPr>
            <w:tcW w:w="5357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shd w:val="clear" w:color="auto" w:fill="E9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8BBA7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每日处理</w:t>
            </w:r>
          </w:p>
        </w:tc>
      </w:tr>
      <w:tr w14:paraId="496E4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3B92E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任职范围外</w:t>
            </w:r>
          </w:p>
        </w:tc>
        <w:tc>
          <w:tcPr>
            <w:tcW w:w="5357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9840B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出勤状态及计划、出勤、加班、请假、缺口均为“不适用”。</w:t>
            </w:r>
          </w:p>
        </w:tc>
      </w:tr>
      <w:tr w14:paraId="5CE44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54C74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零工时确认与打卡同时存在</w:t>
            </w:r>
          </w:p>
        </w:tc>
        <w:tc>
          <w:tcPr>
            <w:tcW w:w="5357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18632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视为证据冲突，出勤状态“待核实”；班内和缺口待核实，加班无批准时为0，有批准时待核实。</w:t>
            </w:r>
          </w:p>
        </w:tc>
      </w:tr>
      <w:tr w14:paraId="3FF96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A1BF8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整班请假已批准且没有打卡</w:t>
            </w:r>
          </w:p>
        </w:tc>
        <w:tc>
          <w:tcPr>
            <w:tcW w:w="5357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5D9D8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班内和缺口为0；无批准加班时加班0、状态“确认零工时”，有批准加班时加班及状态“待核实”。</w:t>
            </w:r>
          </w:p>
        </w:tc>
      </w:tr>
      <w:tr w14:paraId="0A9F7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AC0A2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零工时确认已批准且没有打卡</w:t>
            </w:r>
          </w:p>
        </w:tc>
        <w:tc>
          <w:tcPr>
            <w:tcW w:w="5357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2577D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班内0，缺口为计划扣有效请假后的余量；加班及状态按上一行有无批准加班处理。</w:t>
            </w:r>
          </w:p>
        </w:tc>
      </w:tr>
      <w:tr w14:paraId="63A5C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6B995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有排班，缺卡或打卡逆序</w:t>
            </w:r>
          </w:p>
        </w:tc>
        <w:tc>
          <w:tcPr>
            <w:tcW w:w="5357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41D22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班内和缺口“待核实”；有批准加班时加班“待核实”，否则0。计划和有效请假仍可算。</w:t>
            </w:r>
          </w:p>
        </w:tc>
      </w:tr>
      <w:tr w14:paraId="74F3B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642BB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休息日，无批准加班且无打卡</w:t>
            </w:r>
          </w:p>
        </w:tc>
        <w:tc>
          <w:tcPr>
            <w:tcW w:w="5357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A3814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班内出勤、批准加班、缺口均为0，状态为“休息日”。</w:t>
            </w:r>
          </w:p>
        </w:tc>
      </w:tr>
      <w:tr w14:paraId="5CE5B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9F64F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休息日，有打卡但无批准加班</w:t>
            </w:r>
          </w:p>
        </w:tc>
        <w:tc>
          <w:tcPr>
            <w:tcW w:w="5357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9DD07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班内、加班、缺口均0，状态“休息日”，列“未批准班外打卡”，不再报缺卡。</w:t>
            </w:r>
          </w:p>
        </w:tc>
      </w:tr>
      <w:tr w14:paraId="745B5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59AFA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休息日，有批准加班但缺卡或逆序</w:t>
            </w:r>
          </w:p>
        </w:tc>
        <w:tc>
          <w:tcPr>
            <w:tcW w:w="5357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64B00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班内出勤和缺口为0，加班及出勤状态“待核实”。</w:t>
            </w:r>
          </w:p>
        </w:tc>
      </w:tr>
    </w:tbl>
    <w:p w14:paraId="42A9E423">
      <w:pPr>
        <w:widowControl/>
      </w:pPr>
    </w:p>
    <w:p w14:paraId="1C6F3F7A">
      <w:pPr>
        <w:pStyle w:val="3"/>
        <w:widowControl/>
      </w:pPr>
      <w:r>
        <w:rPr>
          <w:rFonts w:eastAsia="宋体" w:ascii="Times New Roman" w:hAnsi="Times New Roman" w:cs="Times New Roman"/>
        </w:rPr>
        <w:t>异常记录的边界</w:t>
      </w:r>
    </w:p>
    <w:p w14:paraId="7A03B30F">
      <w:pPr>
        <w:widowControl/>
      </w:pPr>
      <w:r>
        <w:rPr>
          <w:rFonts w:eastAsia="宋体" w:ascii="Times New Roman" w:hAnsi="Times New Roman" w:cs="Times New Roman"/>
        </w:rPr>
        <w:t>异常至少覆盖：缺少上班卡、缺少下班卡、打卡顺序异常、未知员工、未批准班外打卡、工时缺口、证据冲突。无卡且满足整班请假或零工时确认规则，仅在没有批准加班时免报缺卡；另有批准加班仍须补卡。零工时确认、审批撤销本身不是异常；缺口字段已确认且大于零时，仍须列“工时缺口”。</w:t>
      </w:r>
    </w:p>
    <w:p w14:paraId="066B79B7">
      <w:pPr>
        <w:widowControl/>
      </w:pPr>
      <w:r>
        <w:rPr>
          <w:rFonts w:eastAsia="宋体" w:ascii="Times New Roman" w:hAnsi="Times New Roman" w:cs="Times New Roman"/>
        </w:rPr>
        <w:t>工作日“未批准班外打卡”的判定为：取有效班次结束之后的打卡区间，扣除班后生效加班区间并集，剩余总分钟严格大于15；不能按每段分别比较。正常提前到岗等待不计工时，也不因此列异常。休息日没有批准加班但有任意打卡，仍列此项。异常按员工编号、归属日期、类别去重，注明影响字段、待补材料及来源，不推断员工动机。</w:t>
      </w:r>
    </w:p>
    <w:p w14:paraId="3A259A02">
      <w:r>
        <w:rPr>
          <w:rFonts w:eastAsia="宋体" w:ascii="Times New Roman" w:hAnsi="Times New Roman" w:cs="Times New Roman"/>
        </w:rPr>
        <w:br w:type="page"/>
      </w:r>
    </w:p>
    <w:p w14:paraId="300EAF11">
      <w:pPr>
        <w:pStyle w:val="3"/>
        <w:widowControl/>
      </w:pPr>
      <w:r>
        <w:rPr>
          <w:rFonts w:eastAsia="宋体" w:ascii="Times New Roman" w:hAnsi="Times New Roman" w:cs="Times New Roman"/>
        </w:rPr>
        <w:t>月度与部门汇总</w:t>
      </w:r>
    </w:p>
    <w:p w14:paraId="6D5C5F2F">
      <w:pPr>
        <w:widowControl/>
      </w:pPr>
      <w:r>
        <w:rPr>
          <w:rFonts w:eastAsia="宋体" w:ascii="Times New Roman" w:hAnsi="Times New Roman" w:cs="Times New Roman"/>
        </w:rPr>
        <w:t>员工月度汇总按月份和员工编号汇总；部门月度汇总按月份及每日部门归属汇总。同一员工发生调部门时，员工月度合计覆盖其全月，部门合计分别承接对应日期。不能把全月工时归给月末部门。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6264"/>
      </w:tblGrid>
      <w:tr w14:paraId="6E8EA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shd w:val="clear" w:color="auto" w:fill="E9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9A0C8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字段</w:t>
            </w:r>
          </w:p>
        </w:tc>
        <w:tc>
          <w:tcPr>
            <w:tcW w:w="6264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shd w:val="clear" w:color="auto" w:fill="E9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B0C03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口径</w:t>
            </w:r>
          </w:p>
        </w:tc>
      </w:tr>
      <w:tr w14:paraId="4EC4F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3A772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在岗人日</w:t>
            </w:r>
          </w:p>
        </w:tc>
        <w:tc>
          <w:tcPr>
            <w:tcW w:w="6264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AE6E7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任职范围内的日期数。</w:t>
            </w:r>
          </w:p>
        </w:tc>
      </w:tr>
      <w:tr w14:paraId="41F8C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CB544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排班人日</w:t>
            </w:r>
          </w:p>
        </w:tc>
        <w:tc>
          <w:tcPr>
            <w:tcW w:w="6264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E2AA1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计划分钟大于0的日期数。</w:t>
            </w:r>
          </w:p>
        </w:tc>
      </w:tr>
      <w:tr w14:paraId="3DEC8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9CE7D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可确认排班人日</w:t>
            </w:r>
          </w:p>
        </w:tc>
        <w:tc>
          <w:tcPr>
            <w:tcW w:w="6264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F30D7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有排班且出勤状态不是“待核实”的日期数。</w:t>
            </w:r>
          </w:p>
        </w:tc>
      </w:tr>
      <w:tr w14:paraId="6B94B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EA03D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待核实人日</w:t>
            </w:r>
          </w:p>
        </w:tc>
        <w:tc>
          <w:tcPr>
            <w:tcW w:w="6264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36FF0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任职范围内出勤状态为“待核实”的日期数，包含休息日批准加班缺卡。</w:t>
            </w:r>
          </w:p>
        </w:tc>
      </w:tr>
      <w:tr w14:paraId="6428B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6D664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各类已确认分钟</w:t>
            </w:r>
          </w:p>
        </w:tc>
        <w:tc>
          <w:tcPr>
            <w:tcW w:w="6264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58742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只合计已确认的数值，不把未知项说成已确认的零。计划和有效请假分别合计可计算数值。</w:t>
            </w:r>
          </w:p>
        </w:tc>
      </w:tr>
      <w:tr w14:paraId="2C212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EDB95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工时可确认率</w:t>
            </w:r>
          </w:p>
        </w:tc>
        <w:tc>
          <w:tcPr>
            <w:tcW w:w="6264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84930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可确认排班人日除以排班人日。</w:t>
            </w:r>
          </w:p>
        </w:tc>
      </w:tr>
      <w:tr w14:paraId="1B44B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20393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已确认日均班内分钟</w:t>
            </w:r>
          </w:p>
        </w:tc>
        <w:tc>
          <w:tcPr>
            <w:tcW w:w="6264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15857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可确认排班日的班内出勤分钟之和，除以可确认排班人日。</w:t>
            </w:r>
          </w:p>
        </w:tc>
      </w:tr>
      <w:tr w14:paraId="7DCE5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5A858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加班占比</w:t>
            </w:r>
          </w:p>
        </w:tc>
        <w:tc>
          <w:tcPr>
            <w:tcW w:w="6264" w:type="dxa"/>
            <w:tcBorders>
              <w:top w:val="single" w:color="D2D2D2" w:sz="4" w:space="0"/>
              <w:left w:val="single" w:color="D2D2D2" w:sz="4" w:space="0"/>
              <w:bottom w:val="single" w:color="D2D2D2" w:sz="4" w:space="0"/>
              <w:right w:val="single" w:color="D2D2D2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28398">
            <w:pPr>
              <w:spacing w:before="40" w:after="40" w:line="259" w:lineRule="auto"/>
              <w:jc w:val="center"/>
            </w:pPr>
            <w:r>
              <w:rPr>
                <w:rFonts w:eastAsia="宋体" w:ascii="Times New Roman" w:hAnsi="Times New Roman" w:cs="Times New Roman"/>
                <w:b w:val="0"/>
                <w:sz w:val="21"/>
              </w:rPr>
              <w:t>已确认加班分钟除以已确认班内分钟与已确认加班分钟之和。</w:t>
            </w:r>
          </w:p>
        </w:tc>
      </w:tr>
    </w:tbl>
    <w:p w14:paraId="7BDCA10C">
      <w:pPr>
        <w:widowControl/>
      </w:pPr>
    </w:p>
    <w:p w14:paraId="616AFB5C">
      <w:pPr>
        <w:pStyle w:val="3"/>
        <w:widowControl/>
      </w:pPr>
      <w:r>
        <w:rPr>
          <w:rFonts w:eastAsia="宋体" w:ascii="Times New Roman" w:hAnsi="Times New Roman" w:cs="Times New Roman"/>
        </w:rPr>
        <w:t>原始来源与复核</w:t>
      </w:r>
    </w:p>
    <w:p w14:paraId="3ADD41A7">
      <w:pPr>
        <w:widowControl/>
      </w:pPr>
      <w:r>
        <w:rPr>
          <w:rFonts w:eastAsia="宋体" w:ascii="Times New Roman" w:hAnsi="Times New Roman" w:cs="Times New Roman"/>
        </w:rPr>
        <w:t>来源定位写成“文件名#工作表名!单元格”或“文件名#工作表名!行号”，多个位置用分号连接。例如“员工与组织信息.xlsx#人员名册!A7”是定位格式示意，不表示该行存在异常。排班来源须指向所采用部门月表中该员工对应日期的实际单元格，不能仅指向整张工作表。</w:t>
      </w:r>
    </w:p>
    <w:p w14:paraId="4E3E9FEB">
      <w:pPr>
        <w:widowControl/>
      </w:pPr>
      <w:r>
        <w:rPr>
          <w:rFonts w:eastAsia="宋体" w:ascii="Times New Roman" w:hAnsi="Times New Roman" w:cs="Times New Roman"/>
        </w:rPr>
        <w:t>“来源记录索引”中，排班按每个人员日期一条记录；人员名册、部门任职、班次定义及其他原始数据均按每个业务物理行一条记录。重复导出行也保留，标“重复导出”。其余处理结果用“在范围内”“任职外”“期间外”“历史状态”“截止后记录”“未知员工”。期间外打卡不计本期日表和汇总；标题、版本、表头、星期及说明行不作为业务行。</w:t>
      </w:r>
    </w:p>
    <w:p w14:paraId="61984BD4">
      <w:pPr>
        <w:widowControl/>
      </w:pPr>
      <w:r>
        <w:rPr>
          <w:rFonts w:eastAsia="宋体" w:ascii="Times New Roman" w:hAnsi="Times New Roman" w:cs="Times New Roman"/>
        </w:rPr>
        <w:t>每日工时、有效审批及异常都要能回查来源。人员名册、部门任职、班次定义等不绑定单一归属日期的记录，其归属日期留空；班次定义的员工编号也留空，不补造人员或日期。审批最新状态的审计信息保留在“有效审批明细”，避免只保留生效申请而丢失撤销和驳回记录。</w:t>
      </w:r>
    </w:p>
    <w:p w14:paraId="65AEE806">
      <w:pPr>
        <w:widowControl/>
      </w:pPr>
      <w:r>
        <w:rPr>
          <w:rFonts w:eastAsia="宋体" w:ascii="Times New Roman" w:hAnsi="Times New Roman" w:cs="Times New Roman"/>
        </w:rPr>
        <w:t>比较部门时同时说明总量与人日口径，报告可确认率及尚未确认的范围。比较日均班内工时应使用相同的可确认排班日口径，不能仅凭工时长短推断效率。最终交付前，按《月结交付说明.md》记录实际执行的范围、身份、状态、分钟汇总和分析结论核对，不能只填“已检查”。</w:t>
      </w:r>
    </w:p>
    <w:sectPr>
      <w:footerReference r:id="rId5" w:type="default"/>
      <w:pgSz w:w="12240" w:h="15840"/>
      <w:pgMar w:top="1008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rPr>
          <w:rFonts w:eastAsia="宋体" w:ascii="Times New Roman" w:hAnsi="Times New Roman" w:cs="Times New Roman"/>
        </w:rPr>
        <w:separator/>
      </w:r>
    </w:p>
  </w:endnote>
  <w:endnote w:type="continuationSeparator" w:id="1">
    <w:p>
      <w:pPr>
        <w:spacing w:line="240" w:lineRule="auto"/>
      </w:pPr>
      <w:r>
        <w:rPr>
          <w:rFonts w:eastAsia="宋体" w:ascii="Times New Roman" w:hAnsi="Times New Roman"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00BDF">
    <w:pPr>
      <w:pStyle w:val="24"/>
      <w:jc w:val="center"/>
    </w:pPr>
    <w:r>
      <w:rPr>
        <w:rFonts w:eastAsia="宋体" w:ascii="Times New Roman" w:hAnsi="Times New Roman" w:cs="Times New Roman"/>
        <w:sz w:val="18"/>
      </w:rPr>
      <w:t xml:space="preserve">第 </w:t>
    </w:r>
    <w:r>
      <w:rPr>
        <w:rFonts w:eastAsia="宋体" w:ascii="Times New Roman" w:hAnsi="Times New Roman" w:cs="Times New Roman"/>
      </w:rPr>
      <w:fldChar w:fldCharType="begin"/>
    </w:r>
    <w:r>
      <w:rPr>
        <w:rFonts w:eastAsia="宋体" w:ascii="Times New Roman" w:hAnsi="Times New Roman" w:cs="Times New Roman"/>
      </w:rPr>
      <w:instrText xml:space="preserve">PAGE</w:instrText>
    </w:r>
    <w:r>
      <w:rPr>
        <w:rFonts w:eastAsia="宋体" w:ascii="Times New Roman" w:hAnsi="Times New Roman" w:cs="Times New Roman"/>
      </w:rPr>
      <w:fldChar w:fldCharType="separate"/>
    </w:r>
    <w:r>
      <w:rPr>
        <w:rFonts w:eastAsia="宋体" w:ascii="Times New Roman" w:hAnsi="Times New Roman" w:cs="Times New Roman"/>
      </w:rPr>
      <w:fldChar w:fldCharType="end"/>
    </w:r>
    <w:r>
      <w:rPr>
        <w:rFonts w:eastAsia="宋体" w:ascii="Times New Roman" w:hAnsi="Times New Roman" w:cs="Times New Roman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rPr>
          <w:rFonts w:eastAsia="宋体" w:ascii="Times New Roman" w:hAnsi="Times New Roman" w:cs="Times New Roman"/>
        </w:rPr>
        <w:separator/>
      </w:r>
    </w:p>
  </w:footnote>
  <w:footnote w:type="continuationSeparator" w:id="1">
    <w:p>
      <w:pPr>
        <w:spacing w:before="0" w:after="0" w:line="283" w:lineRule="auto"/>
      </w:pPr>
      <w:r>
        <w:rPr>
          <w:rFonts w:eastAsia="宋体" w:ascii="Times New Roman" w:hAnsi="Times New Roman"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Times New Roman" w:hAnsi="Times New Roman" w:eastAsia="宋体" w:cs="Times New Roman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eastAsia="宋体" w:cs="Times New Roman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eastAsia="宋体" w:cs="Times New Roman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D2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cstheme="minorBidi" w:eastAsia="宋体" w:ascii="Times New Roman" w:hAnsi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83" w:lineRule="auto"/>
    </w:pPr>
    <w:rPr>
      <w:rFonts w:ascii="Times New Roman" w:hAnsi="Times New Roman" w:eastAsia="宋体" w:cstheme="minorBidi" w:cs="Times New Roman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 w:line="283" w:lineRule="auto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83" w:lineRule="auto"/>
      <w:outlineLvl w:val="1"/>
    </w:pPr>
    <w:rPr>
      <w:rFonts w:ascii="Times New Roman" w:hAnsi="Times New Roman" w:eastAsia="宋体" w:cs="Times New Roman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eastAsia="宋体" w:ascii="Times New Roman" w:hAnsi="Times New Roman" w:cs="Times New Roman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cstheme="minorBidi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eastAsia="宋体" w:ascii="Times New Roman" w:hAnsi="Times New Roman" w:cs="Times New Roman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eastAsia="宋体" w:ascii="Times New Roman" w:hAnsi="Times New Roman" w:cs="Times New Roman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eastAsia="宋体" w:ascii="Times New Roman" w:hAnsi="Times New Roman" w:cs="Times New Roman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eastAsia="宋体" w:ascii="Times New Roman" w:hAnsi="Times New Roman" w:cs="Times New Roman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eastAsia="宋体" w:ascii="Times New Roman" w:hAnsi="Times New Roman" w:cs="Times New Roman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 w:ascii="Times New Roman" w:hAnsi="Times New Roman" w:cs="Times New Roman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eastAsia="宋体" w:ascii="Times New Roman" w:hAnsi="Times New Roman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eastAsia="宋体" w:ascii="Times New Roman" w:hAnsi="Times New Roman" w:cs="Times New Roman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eastAsia="宋体" w:ascii="Times New Roman" w:hAnsi="Times New Roman" w:cs="Times New Roman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eastAsia="宋体" w:ascii="Times New Roman" w:hAnsi="Times New Roman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paragraph" w:styleId="26">
    <w:name w:val="Subtitle"/>
    <w:basedOn w:val="1"/>
    <w:next w:val="1"/>
    <w:link w:val="142"/>
    <w:qFormat/>
    <w:uiPriority w:val="11"/>
    <w:pPr>
      <w:spacing w:after="140" w:line="283" w:lineRule="auto"/>
    </w:pPr>
    <w:rPr>
      <w:rFonts w:ascii="Times New Roman" w:hAnsi="Times New Roman" w:eastAsia="宋体" w:cs="Times New Roman"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eastAsia="宋体" w:ascii="Times New Roman" w:hAnsi="Times New Roman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eastAsia="宋体" w:ascii="Times New Roman" w:hAnsi="Times New Roman" w:cs="Times New Roman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eastAsia="宋体" w:ascii="Times New Roman" w:hAnsi="Times New Roman" w:cs="Times New Roman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 w:ascii="Times New Roman" w:hAnsi="Times New Roman" w:cs="Times New Roman"/>
    </w:rPr>
  </w:style>
  <w:style w:type="paragraph" w:styleId="31">
    <w:name w:val="Title"/>
    <w:basedOn w:val="1"/>
    <w:next w:val="1"/>
    <w:link w:val="141"/>
    <w:qFormat/>
    <w:uiPriority w:val="10"/>
    <w:pPr>
      <w:spacing w:after="280" w:line="283" w:lineRule="auto"/>
      <w:contextualSpacing/>
    </w:pPr>
    <w:rPr>
      <w:rFonts w:ascii="Times New Roman" w:hAnsi="Times New Roman" w:eastAsia="宋体" w:cs="Times New Roman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table" w:styleId="34">
    <w:name w:val="Light Shading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rPr>
      <w:rFonts w:eastAsia="宋体" w:ascii="Times New Roman" w:hAnsi="Times New Roman" w:cs="Times New Roman"/>
    </w:r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rPr>
      <w:rFonts w:eastAsia="宋体" w:ascii="Times New Roman" w:hAnsi="Times New Roman" w:cs="Times New Roman"/>
    </w:r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rPr>
      <w:rFonts w:eastAsia="宋体" w:ascii="Times New Roman" w:hAnsi="Times New Roman" w:cs="Times New Roman"/>
    </w:r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rPr>
      <w:rFonts w:eastAsia="宋体" w:ascii="Times New Roman" w:hAnsi="Times New Roman" w:cs="Times New Roman"/>
    </w:r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rPr>
      <w:rFonts w:eastAsia="宋体" w:ascii="Times New Roman" w:hAnsi="Times New Roman" w:cs="Times New Roman"/>
    </w:r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rPr>
      <w:rFonts w:eastAsia="宋体" w:ascii="Times New Roman" w:hAnsi="Times New Roman" w:cs="Times New Roman"/>
    </w:r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rPr>
      <w:rFonts w:eastAsia="宋体" w:ascii="Times New Roman" w:hAnsi="Times New Roman" w:cs="Times New Roman"/>
    </w:r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9">
    <w:name w:val="Medium List 1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rPr>
      <w:rFonts w:eastAsia="宋体" w:ascii="Times New Roman" w:hAnsi="Times New Roman" w:cs="Times New Roman"/>
    </w:r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rPr>
      <w:rFonts w:eastAsia="宋体" w:ascii="Times New Roman" w:hAnsi="Times New Roman" w:cs="Times New Roman"/>
    </w:r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90">
    <w:name w:val="Medium Grid 2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rPr>
      <w:rFonts w:eastAsia="宋体" w:ascii="Times New Roman" w:hAnsi="Times New Roman" w:cs="Times New Roman"/>
    </w:r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rPr>
      <w:rFonts w:eastAsia="宋体" w:ascii="Times New Roman" w:hAnsi="Times New Roman" w:cs="Times New Roman"/>
    </w:r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104">
    <w:name w:val="Dark List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 w:ascii="Times New Roman" w:hAnsi="Times New Roman" w:cs="Times New Roman"/>
      <w:b/>
      <w:bCs/>
    </w:rPr>
  </w:style>
  <w:style w:type="character" w:styleId="134">
    <w:name w:val="Emphasis"/>
    <w:basedOn w:val="132"/>
    <w:qFormat/>
    <w:uiPriority w:val="20"/>
    <w:rPr>
      <w:rFonts w:eastAsia="宋体" w:ascii="Times New Roman" w:hAnsi="Times New Roman" w:cs="Times New Roman"/>
      <w:i/>
      <w:iCs/>
    </w:rPr>
  </w:style>
  <w:style w:type="character" w:customStyle="1" w:styleId="135">
    <w:name w:val="Header Char"/>
    <w:basedOn w:val="132"/>
    <w:link w:val="25"/>
    <w:uiPriority w:val="99"/>
    <w:rPr>
      <w:rFonts w:eastAsia="宋体" w:ascii="Times New Roman" w:hAnsi="Times New Roman" w:cs="Times New Roman"/>
    </w:rPr>
  </w:style>
  <w:style w:type="character" w:customStyle="1" w:styleId="136">
    <w:name w:val="Footer Char"/>
    <w:basedOn w:val="132"/>
    <w:link w:val="24"/>
    <w:uiPriority w:val="99"/>
    <w:rPr>
      <w:rFonts w:eastAsia="宋体" w:ascii="Times New Roman" w:hAnsi="Times New Roman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cstheme="minorBidi" w:eastAsia="宋体" w:ascii="Times New Roman" w:hAnsi="Times New Roman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cstheme="majorBidi" w:eastAsia="宋体" w:ascii="Times New Roman" w:hAnsi="Times New Roman" w:cs="Times New Roman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cstheme="majorBidi" w:eastAsia="宋体" w:ascii="Times New Roman" w:hAnsi="Times New Roman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cstheme="majorBidi" w:eastAsia="宋体" w:ascii="Times New Roman" w:hAnsi="Times New Roman" w:cs="Times New Roman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 w:ascii="Times New Roman" w:hAnsi="Times New Roman" w:cs="Times New Roman"/>
    </w:rPr>
  </w:style>
  <w:style w:type="character" w:customStyle="1" w:styleId="144">
    <w:name w:val="Body Text Char"/>
    <w:basedOn w:val="132"/>
    <w:link w:val="19"/>
    <w:uiPriority w:val="99"/>
    <w:rPr>
      <w:rFonts w:eastAsia="宋体" w:ascii="Times New Roman" w:hAnsi="Times New Roman" w:cs="Times New Roman"/>
    </w:rPr>
  </w:style>
  <w:style w:type="character" w:customStyle="1" w:styleId="145">
    <w:name w:val="Body Text 2 Char"/>
    <w:basedOn w:val="132"/>
    <w:link w:val="28"/>
    <w:uiPriority w:val="99"/>
    <w:rPr>
      <w:rFonts w:eastAsia="宋体" w:ascii="Times New Roman" w:hAnsi="Times New Roman" w:cs="Times New Roman"/>
    </w:rPr>
  </w:style>
  <w:style w:type="character" w:customStyle="1" w:styleId="146">
    <w:name w:val="Body Text 3 Char"/>
    <w:basedOn w:val="132"/>
    <w:link w:val="17"/>
    <w:uiPriority w:val="99"/>
    <w:rPr>
      <w:rFonts w:eastAsia="宋体" w:ascii="Times New Roman" w:hAnsi="Times New Roman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 w:ascii="Times New Roman" w:hAnsi="Times New Roman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eastAsia="宋体" w:ascii="Times New Roman" w:hAnsi="Times New Roman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cstheme="majorBidi" w:eastAsia="宋体" w:ascii="Times New Roman" w:hAnsi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cstheme="majorBidi" w:eastAsia="宋体" w:ascii="Times New Roman" w:hAnsi="Times New Roman" w:cs="Times New Roman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cstheme="majorBidi" w:eastAsia="宋体" w:ascii="Times New Roman" w:hAnsi="Times New Roman" w:cs="Times New Roman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cstheme="majorBidi" w:eastAsia="宋体" w:ascii="Times New Roman" w:hAnsi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cstheme="majorBidi" w:eastAsia="宋体" w:ascii="Times New Roman" w:hAnsi="Times New Roman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eastAsia="宋体" w:ascii="Times New Roman" w:hAnsi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 w:ascii="Times New Roman" w:hAnsi="Times New Roman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 w:ascii="Times New Roman" w:hAnsi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 w:ascii="Times New Roman" w:hAnsi="Times New Roman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 w:ascii="Times New Roman" w:hAnsi="Times New Roman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澄川精密制造 人事部</dc:creator>
  <dc:description>generated by python-docx</dc:description>
  <cp:keywords>工时核算；人事月结；业务模拟</cp:keywords>
  <cp:lastModifiedBy>zyzhao48</cp:lastModifiedBy>
  <dcterms:modified xsi:type="dcterms:W3CDTF">2026-10-12T08:04:15Z</dcterms:modified>
  <dc:subject>2026年8月至9月人事工时月结</dc:subject>
  <dc:title>澄川精密制造工时核算口径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816F5DC7A86D47E9A8768106794A78E2_12</vt:lpwstr>
  </property>
</Properties>
</file>