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宋体" w:ascii="Times New Roman" w:hAnsi="Times New Roman" w:cs="Times New Roman"/>
        </w:rPr>
        <w:t>跨月退货与区域销售复盘</w:t>
      </w:r>
    </w:p>
    <w:p>
      <w:r>
        <w:rPr>
          <w:rFonts w:eastAsia="宋体" w:ascii="Times New Roman" w:hAnsi="Times New Roman" w:cs="Times New Roman"/>
        </w:rPr>
        <w:t>销售运营部 · 财务售后组 · 客户管理组</w:t>
        <w:br/>
        <w:t>内部模拟业务口径与交付要求（2026-10版）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一、复盘范围</w:t>
      </w:r>
    </w:p>
    <w:p>
      <w:r>
        <w:rPr>
          <w:rFonts w:eastAsia="宋体" w:ascii="Times New Roman" w:hAnsi="Times New Roman" w:cs="Times New Roman"/>
        </w:rPr>
        <w:t>分析订单月份为 2026-08 与 2026-09，统一观察截止时点为 2026-10-05 18:00:00（北京时间，含该秒）。目标是比较两月订单在同一观察时点下的净销售规模及区域、渠道结构，同时单独展示各月实际生效的退款发生额。本题不计算毛利、协销业绩、现金余额或税额。</w:t>
      </w:r>
    </w:p>
    <w:p>
      <w:r>
        <w:rPr>
          <w:rFonts w:eastAsia="宋体" w:ascii="Times New Roman" w:hAnsi="Times New Roman" w:cs="Times New Roman"/>
        </w:rPr>
        <w:t>资料均为模拟业务导出。订单、退款和客户按稳定 ID 关联，名称仅供展示；同名客户不能合并。资料原文件只读，所有范围内隐藏 sheet 和隐藏行仍须纳入。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二、文件与 sheet 范围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</w:tblPr>
      <w:tblGrid>
        <w:gridCol w:w="5112"/>
        <w:gridCol w:w="5112"/>
      </w:tblGrid>
      <w:tr>
        <w:trPr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  <w:b/>
              </w:rPr>
              <w:t>文件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  <w:b/>
              </w:rPr>
              <w:t>应处理范围</w:t>
            </w:r>
          </w:p>
        </w:tc>
      </w:tr>
      <w:t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销售部_华东订单.xlsx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2026-08、2026-09</w:t>
            </w:r>
          </w:p>
        </w:tc>
      </w:tr>
      <w:t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销售部_华南订单.xlsx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2026-08、2026-09</w:t>
            </w:r>
          </w:p>
        </w:tc>
      </w:tr>
      <w:t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销售部_华北订单.xlsx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2026-08、2026-09</w:t>
            </w:r>
          </w:p>
        </w:tc>
      </w:tr>
      <w:t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财务售后_退款流水.xlsx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华东_2026-08、华东_2026-09、华东_2026-10、华南_2026-08、华南_2026-09、华南_2026-10、华北_2026-08、华北_2026-09、华北_2026-10</w:t>
            </w:r>
          </w:p>
        </w:tc>
      </w:tr>
      <w:t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客户管理_区域客户名册.xlsx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华东、华南、华北</w:t>
            </w:r>
          </w:p>
        </w:tc>
      </w:tr>
    </w:tbl>
    <w:p>
      <w:r>
        <w:rPr>
          <w:rFonts w:eastAsia="宋体" w:ascii="Times New Roman" w:hAnsi="Times New Roman" w:cs="Times New Roman"/>
        </w:rPr>
        <w:t>订单文件的“历史留样”sheet 只作上期格式留样，不属于本次分析。其余列明 sheet 全部处理。订单 sheet 按地区与订单月分存；退款按原订单地区、退款申请月分存，申请月不等于生效月；客户 sheet 按所属区域分存。</w:t>
      </w:r>
    </w:p>
    <w:p>
      <w:r>
        <w:rPr>
          <w:rFonts w:eastAsia="宋体" w:ascii="Times New Roman" w:hAnsi="Times New Roman" w:cs="Times New Roman"/>
        </w:rPr>
        <w:t>每个业务 sheet 有合并标题、多级字段组及字段行；每隔约120条记录出现重复标题、展示小计及页尾说明。数据行以完整“订单行ID／退款ID／客户ID”识别。标题、小计、页尾不是业务。订单行ID重复且字段一致是重复导出，按 ID 只计一次，但保留全部出现位置。退款 ID 独立，多次部分退款分别计算。</w:t>
      </w:r>
    </w:p>
    <w:p>
      <w:r>
        <w:rPr>
          <w:rFonts w:eastAsia="宋体" w:ascii="Times New Roman" w:hAnsi="Times New Roman" w:cs="Times New Roman"/>
        </w:rPr>
        <w:br w:type="page"/>
      </w:r>
    </w:p>
    <w:p>
      <w:pPr>
        <w:pStyle w:val="Heading1"/>
      </w:pPr>
      <w:r>
        <w:rPr>
          <w:rFonts w:eastAsia="宋体" w:ascii="Times New Roman" w:hAnsi="Times New Roman" w:cs="Times New Roman"/>
        </w:rPr>
        <w:t>三、公开字段与计算口径</w:t>
      </w:r>
    </w:p>
    <w:p>
      <w:r>
        <w:rPr>
          <w:rFonts w:eastAsia="宋体" w:ascii="Times New Roman" w:hAnsi="Times New Roman" w:cs="Times New Roman"/>
        </w:rPr>
        <w:t>订单字段：订单行ID为唯一业务键；订单日期决定订单月份；客户ID关联客户表；销售渠道允许为空；商品组用于解释原始记录；数量、数量单位、单价、单价单位与折扣率决定折后销售额；订单状态为“有效”或“取消”。客户表客户ID唯一，所属区域决定区域归属，客户分层为空表示未登记。客户名称不参与匹配。</w:t>
      </w:r>
    </w:p>
    <w:p>
      <w:r>
        <w:rPr>
          <w:rFonts w:eastAsia="宋体" w:ascii="Times New Roman" w:hAnsi="Times New Roman" w:cs="Times New Roman"/>
        </w:rPr>
        <w:t>退款字段：退款ID为唯一业务键，订单行ID指向原订单；申请时间仅用于导出分片；生效时间用于截止与发生月份；退款状态为“已生效”“已撤销”“待审批”；退款金额为已折扣后的应退金额，不能再乘订单折扣。金额单位统一为“元”，单价统一为“元/件”。金额和单价均固定显示两位小数，文本数值和真实零额也补足两位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</w:tblPr>
      <w:tblGrid>
        <w:gridCol w:w="5112"/>
        <w:gridCol w:w="5112"/>
      </w:tblGrid>
      <w:tr>
        <w:trPr>
          <w:tblHeader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  <w:b/>
              </w:rPr>
              <w:t>对象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  <w:b/>
              </w:rPr>
              <w:t>公开规则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数量与价格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“件”乘1，“箱”乘12。单价统一为“元/件”，退款额及其他金额统一为“元”，不再进行金额单位换算。数值可能保存为数字文本，逗号为千位分隔符。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折扣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数值0.95与文本95%同义，表示实付比例。标准数量×标准单价×折扣率，按订单行四舍五入到分（ROUND_HALF_UP）。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有效状态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仅“有效”订单计入销售。取消订单的标准数量、折后销售额、退款及净额均记“不适用”，不按0计入有效订单数。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退款截止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状态为“已生效”且生效时间≤截止，才计入；已撤销、待审批、截止后分别保留状态，其计入金额为0（确认未计入）。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两种归属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归属退款额：截止内有效退款归到原订单月份，包括后续月份生效的退款。重述净销售额=该订单折后销售额−归属退款额。当期退款发生额按生效月份汇总，只列本次两个月，不按申请日期或原订单月归属。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舍入与守恒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eastAsia="宋体" w:ascii="Times New Roman" w:hAnsi="Times New Roman" w:cs="Times New Roman"/>
              </w:rPr>
              <w:t>先逐订单／退款行折算并四舍五入到分，再汇总。输出金额保留2位小数，比例保留至少4位小数；显示百分比可保留2位。不得多对多关联放大订单金额。</w:t>
            </w:r>
          </w:p>
        </w:tc>
      </w:tr>
    </w:tbl>
    <w:p>
      <w:r>
        <w:rPr>
          <w:rFonts w:eastAsia="宋体" w:ascii="Times New Roman" w:hAnsi="Times New Roman" w:cs="Times New Roman"/>
        </w:rPr>
        <w:t>退款均能通过原订单ID确定客户和区域；公开有效退款不会超过原单折后金额。重复导出是观测问题，不是退款或取消。月净额占比以当月所有区域及渠道（含缺渠道）重述净额为分母。第二月净额环比=第二月重述净额÷第一月重述净额−1；第一月环比为“不适用”，分母为0则“待确认”。</w:t>
      </w:r>
    </w:p>
    <w:p>
      <w:r>
        <w:rPr>
          <w:rFonts w:eastAsia="宋体" w:ascii="Times New Roman" w:hAnsi="Times New Roman" w:cs="Times New Roman"/>
        </w:rPr>
        <w:br w:type="page"/>
      </w:r>
    </w:p>
    <w:p>
      <w:pPr>
        <w:pStyle w:val="Heading1"/>
      </w:pPr>
      <w:r>
        <w:rPr>
          <w:rFonts w:eastAsia="宋体" w:ascii="Times New Roman" w:hAnsi="Times New Roman" w:cs="Times New Roman"/>
        </w:rPr>
        <w:t>四、缺失、零和可确认范围</w:t>
      </w:r>
    </w:p>
    <w:p>
      <w:r>
        <w:rPr>
          <w:rFonts w:eastAsia="宋体" w:ascii="Times New Roman" w:hAnsi="Times New Roman" w:cs="Times New Roman"/>
        </w:rPr>
        <w:t>渠道空白统一列“待确认”，不得从客户名称、商品或其他月份猜补。缺渠道金额仍计入总体与区域净额，在渠道结构中单列；缺口表写明影响渠道结构与后续补充资料。客户分层为空统一列“待确认”，不影响已知区域和金额。</w:t>
      </w:r>
    </w:p>
    <w:p>
      <w:r>
        <w:rPr>
          <w:rFonts w:eastAsia="宋体" w:ascii="Times New Roman" w:hAnsi="Times New Roman" w:cs="Times New Roman"/>
        </w:rPr>
        <w:t>有效订单中单价为0的赠品是真实“确认零额”，需保留订单和数量。取消订单标记“不适用”；有效且净额非0标记“已确认”；有效且净额为0标记“确认零额”，零额行数统计后者，可能包含全部退清。缺失不能改为0。实际未读完的文件、sheet 或区块要记录范围及对结论的影响，不得声称全量。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五、交付工作簿</w:t>
      </w:r>
    </w:p>
    <w:p>
      <w:r>
        <w:rPr>
          <w:rFonts w:eastAsia="宋体" w:ascii="Times New Roman" w:hAnsi="Times New Roman" w:cs="Times New Roman"/>
        </w:rPr>
        <w:t>交付 /tmp_workspace/results/区域销售复盘.xlsx。采用下列 sheet 名与字段，表头放首行，字段顺序和数据行顺序不限；可以增加辅助列或辅助表。数值可以是实际计算值或已计算的 Excel 公式。不要用空白代替“不适用／待确认”。业务记录的列名采用下表，避免歧义。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订单明细</w:t>
      </w:r>
    </w:p>
    <w:p>
      <w:r>
        <w:rPr>
          <w:rFonts w:eastAsia="宋体" w:ascii="Times New Roman" w:hAnsi="Times New Roman" w:cs="Times New Roman"/>
        </w:rPr>
        <w:t>订单行ID、订单月份、客户ID、客户名称、区域、客户分层、渠道、订单状态、标准数量、折后销售额、归属退款额、重述净销售额、金额语义、订单来源、客户来源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退款明细</w:t>
      </w:r>
    </w:p>
    <w:p>
      <w:r>
        <w:rPr>
          <w:rFonts w:eastAsia="宋体" w:ascii="Times New Roman" w:hAnsi="Times New Roman" w:cs="Times New Roman"/>
        </w:rPr>
        <w:t>退款ID、订单行ID、客户ID、区域、订单月份、退款发生月份、退款状态、截止处理、标准退款额、计入归属退款额、计入发生退款额、退款来源、订单来源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月度指标</w:t>
      </w:r>
    </w:p>
    <w:p>
      <w:r>
        <w:rPr>
          <w:rFonts w:eastAsia="宋体" w:ascii="Times New Roman" w:hAnsi="Times New Roman" w:cs="Times New Roman"/>
        </w:rPr>
        <w:t>月份、有效订单行数、确认零额行数、缺渠道行数、折后销售额、归属退款额、重述净销售额、当期退款发生额、净额环比、缺渠道净额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区域渠道汇总</w:t>
      </w:r>
    </w:p>
    <w:p>
      <w:r>
        <w:rPr>
          <w:rFonts w:eastAsia="宋体" w:ascii="Times New Roman" w:hAnsi="Times New Roman" w:cs="Times New Roman"/>
        </w:rPr>
        <w:t>月份、区域、渠道、有效订单行数、折后销售额、归属退款额、重述净销售额、月净额占比</w:t>
      </w:r>
    </w:p>
    <w:p>
      <w:r>
        <w:rPr>
          <w:rFonts w:eastAsia="宋体" w:ascii="Times New Roman" w:hAnsi="Times New Roman" w:cs="Times New Roman"/>
        </w:rPr>
        <w:t>订单明细一条唯一订单行一行，退款明细一条退款一行。退款“截止处理”取“计入／已撤销／待审批／截止后”；“标准退款额”反映原始可确定金额，“计入归属退款额”仅截止有效时非0，“计入发生退款额”还要求生效月份属于分析两月。月度表每月一行；区域渠道表输出两月×所有区域×直营网销／经销商／电商平台／待确认的完整组合，已确认无业务组合金额为0。</w:t>
      </w:r>
    </w:p>
    <w:p>
      <w:r>
        <w:rPr>
          <w:rFonts w:eastAsia="宋体" w:ascii="Times New Roman" w:hAnsi="Times New Roman" w:cs="Times New Roman"/>
        </w:rPr>
        <w:t>来源采用“文件名|sheet名|行号”，同一对象多来源用分号分隔，也可写等价的单元格范围。订单明细保留全部订单导出位置和客户位置；退款明细保留退款位置及关联订单全部位置。汇总可通过月份、区域与渠道回筛订单明细，须保持可核对。</w:t>
      </w:r>
    </w:p>
    <w:p>
      <w:r>
        <w:rPr>
          <w:rFonts w:eastAsia="宋体" w:ascii="Times New Roman" w:hAnsi="Times New Roman" w:cs="Times New Roman"/>
        </w:rPr>
        <w:br w:type="page"/>
      </w:r>
    </w:p>
    <w:p>
      <w:pPr>
        <w:pStyle w:val="Heading1"/>
      </w:pPr>
      <w:r>
        <w:rPr>
          <w:rFonts w:eastAsia="宋体" w:ascii="Times New Roman" w:hAnsi="Times New Roman" w:cs="Times New Roman"/>
        </w:rPr>
        <w:t>六、来源、缺口和分析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来源与清洗</w:t>
      </w:r>
    </w:p>
    <w:p>
      <w:r>
        <w:rPr>
          <w:rFonts w:eastAsia="宋体" w:ascii="Times New Roman" w:hAnsi="Times New Roman" w:cs="Times New Roman"/>
        </w:rPr>
        <w:t>来源定位、来源类型、记录ID、处理结果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缺口表</w:t>
      </w:r>
    </w:p>
    <w:p>
      <w:r>
        <w:rPr>
          <w:rFonts w:eastAsia="宋体" w:ascii="Times New Roman" w:hAnsi="Times New Roman" w:cs="Times New Roman"/>
        </w:rPr>
        <w:t>订单行ID、缺口类别、影响指标、处理说明、来源定位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分析说明</w:t>
      </w:r>
    </w:p>
    <w:p>
      <w:r>
        <w:rPr>
          <w:rFonts w:eastAsia="宋体" w:ascii="Times New Roman" w:hAnsi="Times New Roman" w:cs="Times New Roman"/>
        </w:rPr>
        <w:t>分析主题、结论、数据依据、范围与限制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验收记录</w:t>
      </w:r>
    </w:p>
    <w:p>
      <w:r>
        <w:rPr>
          <w:rFonts w:eastAsia="宋体" w:ascii="Times New Roman" w:hAnsi="Times New Roman" w:cs="Times New Roman"/>
        </w:rPr>
        <w:t>核对项目、核对范围、方法与结果、证据位置</w:t>
      </w:r>
    </w:p>
    <w:p>
      <w:r>
        <w:rPr>
          <w:rFonts w:eastAsia="宋体" w:ascii="Times New Roman" w:hAnsi="Times New Roman" w:cs="Times New Roman"/>
        </w:rPr>
        <w:t>来源与清洗对每条范围内原始业务记录保留文件、sheet、行号，来源类型为“订单／退款／客户”。订单首次出现为“纳入”或“取消不适用”，后续相同导出为“重复导出”；退款按截止处理；客户为“维度”。另可记录被剔除的标题、小计和说明区块，不将它们计入业务。缺口表按“订单行ID＋缺口类别”列明渠道或分层缺口，对应来源及影响指标，建议分别向销售运营或客户管理组补登记。</w:t>
      </w:r>
    </w:p>
    <w:p>
      <w:r>
        <w:rPr>
          <w:rFonts w:eastAsia="宋体" w:ascii="Times New Roman" w:hAnsi="Times New Roman" w:cs="Times New Roman"/>
        </w:rPr>
        <w:t>分析至少回答四件事：①同一截止下，两月重述净销及增幅如何；②哪些区域和渠道贡献了可比金额差异，结构占比怎样变化；③原单月归属退款与当期生效退款的差别是否影响解读；④缺渠道、缺客户分层及任何读取未完成范围限制了哪些结论，怎样跟进。结论引用工作簿位置与指标，不把相关变化认作已证实经营原因。</w:t>
      </w:r>
    </w:p>
    <w:p>
      <w:r>
        <w:rPr>
          <w:rFonts w:eastAsia="宋体" w:ascii="Times New Roman" w:hAnsi="Times New Roman" w:cs="Times New Roman"/>
        </w:rPr>
        <w:t>至少制作一张比较两月重述净销售额的图，以及一张展示区域或渠道结构／变化的图。图题和坐标注明月份、金额单位与口径，图表数据应能追溯到汇总，不用图表隐藏待确认组。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七、交付前实际核对</w:t>
      </w:r>
    </w:p>
    <w:p>
      <w:r>
        <w:rPr>
          <w:rFonts w:eastAsia="宋体" w:ascii="Times New Roman" w:hAnsi="Times New Roman" w:cs="Times New Roman"/>
        </w:rPr>
        <w:t>请实际检查并在“验收记录”保留范围、方法、结果和证据位置：一是各文件及全部范围内 sheet、隐藏明细、重复与非明细的覆盖；二是订单、退款、客户按ID关联，抽查同名客户与多次退款；三是逐行折后金额、有效退款和净额及各层汇总守恒，分别验证原单月与发生月；四是图表数值、变化结论及缺口边界与已复算指标一致。发现未通过或未完成也如实记录。</w:t>
      </w:r>
    </w:p>
    <w:p>
      <w:r>
        <w:rPr>
          <w:rFonts w:eastAsia="宋体" w:ascii="Times New Roman" w:hAnsi="Times New Roman" w:cs="Times New Roman"/>
        </w:rPr>
        <w:t>核对方法不限，人工、Excel或程序均可；不要求另交程序或执行日志。实际核对将结合工具执行轨迹及本表判断，只有正确结果或一句“已检查”不能替代实际核对证据。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宋体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宋体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宋体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宋体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hAnsi="Times New Roman" w:eastAsia="宋体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宋体"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宋体"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宋体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宋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宋体" w:ascii="Times New Roman" w:hAnsi="Times New Roman" w:cs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numbering" w:default="1" w:styleId="NoList">
    <w:name w:val="No List"/>
    <w:uiPriority w:val="99"/>
    <w:semiHidden/>
    <w:unhideWhenUsed/>
    <w:rPr>
      <w:rFonts w:eastAsia="宋体" w:ascii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宋体" w:cs="Times New Roman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宋体"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宋体"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宋体" w:ascii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宋体"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宋体" w:ascii="Times New Roman" w:hAnsi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宋体" w:ascii="Times New Roman" w:hAnsi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宋体" w:ascii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宋体" w:ascii="Times New Roman" w:hAnsi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宋体" w:ascii="Times New Roman" w:hAnsi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宋体" w:ascii="Times New Roman" w:hAnsi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宋体" w:ascii="Times New Roman" w:hAnsi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宋体" w:ascii="Times New Roman" w:hAnsi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宋体" w:ascii="Times New Roman" w:hAnsi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宋体" w:ascii="Times New Roman" w:hAnsi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宋体" w:ascii="Times New Roman" w:hAnsi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宋体" w:ascii="Times New Roman" w:hAnsi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宋体" w:ascii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