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宋体" w:ascii="Times New Roman" w:hAnsi="Times New Roman" w:cs="Times New Roman"/>
        </w:rPr>
        <w:t>促销折扣与销售毛利分析口径</w:t>
      </w:r>
    </w:p>
    <w:p>
      <w:r>
        <w:rPr>
          <w:rFonts w:eastAsia="宋体" w:ascii="Times New Roman" w:hAnsi="Times New Roman" w:cs="Times New Roman"/>
        </w:rPr>
        <w:t>统计期间：2026-07至2026-08。供销售运营、各业务部门与财务共同复核。金额均为内部管理口径，不作税务或财务报表认定。</w:t>
      </w:r>
    </w:p>
    <w:p>
      <w:pPr>
        <w:pStyle w:val="Heading1"/>
      </w:pPr>
      <w:r>
        <w:rPr>
          <w:rFonts w:eastAsia="宋体" w:ascii="Times New Roman" w:hAnsi="Times New Roman" w:cs="Times New Roman"/>
        </w:rPr>
        <w:t>一、目标与范围</w:t>
      </w:r>
    </w:p>
    <w:p>
      <w:r>
        <w:rPr>
          <w:rFonts w:eastAsia="宋体" w:ascii="Times New Roman" w:hAnsi="Times New Roman" w:cs="Times New Roman"/>
        </w:rPr>
        <w:t>比较两个月各部门、地区和渠道的销售规模与结构，说明促销与非促销在可比商品上的销售和毛利表现。交付一份可复算的分析工作簿，图表、来源与清洗记录、缺口和验收记录均放入该工作簿。分析可以提出待核查的解释，不能把观察到的差异说成促销的因果效果。</w:t>
      </w:r>
    </w:p>
    <w:p>
      <w:r>
        <w:rPr>
          <w:rFonts w:eastAsia="宋体" w:ascii="Times New Roman" w:hAnsi="Times New Roman" w:cs="Times New Roman"/>
        </w:rPr>
        <w:t>公开文件夹中的全部Excel文件及下列工作表均在范围内。订单按所属地区与订单月分存，退款按同一地区、同一原订单月分存，客户资料按地区分存。所有文件中的业务ID行（包括隐藏行）均纳入识别；合并标题、多级表头、重复标题、中间小计和页尾说明不是业务明细。文件名和sheet用于定位，日期与业务字段仍以明细为准。</w:t>
      </w:r>
    </w:p>
    <w:p>
      <w:r>
        <w:rPr>
          <w:rFonts w:eastAsia="宋体" w:ascii="Times New Roman" w:hAnsi="Times New Roman" w:cs="Times New Roman"/>
        </w:rPr>
        <w:t>华东销售.xlsx：订单_2026-07、退款_2026-07、订单_2026-08、退款_2026-08。</w:t>
      </w:r>
    </w:p>
    <w:p>
      <w:r>
        <w:rPr>
          <w:rFonts w:eastAsia="宋体" w:ascii="Times New Roman" w:hAnsi="Times New Roman" w:cs="Times New Roman"/>
        </w:rPr>
        <w:t>华南销售.xlsx：订单_2026-07、退款_2026-07、订单_2026-08、退款_2026-08。</w:t>
      </w:r>
    </w:p>
    <w:p>
      <w:r>
        <w:rPr>
          <w:rFonts w:eastAsia="宋体" w:ascii="Times New Roman" w:hAnsi="Times New Roman" w:cs="Times New Roman"/>
        </w:rPr>
        <w:t>华北销售.xlsx：订单_2026-07、退款_2026-07、订单_2026-08、退款_2026-08。</w:t>
      </w:r>
    </w:p>
    <w:p>
      <w:r>
        <w:rPr>
          <w:rFonts w:eastAsia="宋体" w:ascii="Times New Roman" w:hAnsi="Times New Roman" w:cs="Times New Roman"/>
        </w:rPr>
        <w:t>客户资料.xlsx：华东、华南、华北。</w:t>
      </w:r>
    </w:p>
    <w:p>
      <w:r>
        <w:rPr>
          <w:rFonts w:eastAsia="宋体" w:ascii="Times New Roman" w:hAnsi="Times New Roman" w:cs="Times New Roman"/>
        </w:rPr>
        <w:t>成本与折扣.xlsx：成本版本、折扣_2026-07、折扣_2026-08。</w:t>
      </w:r>
    </w:p>
    <w:p>
      <w:r>
        <w:rPr>
          <w:rFonts w:eastAsia="宋体" w:ascii="Times New Roman" w:hAnsi="Times New Roman" w:cs="Times New Roman"/>
        </w:rPr>
        <w:t>订单行ID、退款ID、客户ID、成本版本ID均为各自唯一键；整单折扣表按订单ID唯一。订单通过客户ID关联本地区客户资料，名称可能重名，不用姓名关联。退款通过原订单行ID回查订单、客户、部门、商品和促销标记。不重复导出同一业务ID。只在同一订单内分摊整单折扣，部门与地区不分摊销售归属。</w:t>
      </w:r>
    </w:p>
    <w:p>
      <w:pPr>
        <w:pStyle w:val="Heading1"/>
      </w:pPr>
      <w:r>
        <w:rPr>
          <w:rFonts w:eastAsia="宋体" w:ascii="Times New Roman" w:hAnsi="Times New Roman" w:cs="Times New Roman"/>
        </w:rPr>
        <w:t>二、字段与单位</w:t>
      </w:r>
    </w:p>
    <w:p>
      <w:r>
        <w:rPr>
          <w:rFonts w:eastAsia="宋体" w:ascii="Times New Roman" w:hAnsi="Times New Roman" w:cs="Times New Roman"/>
        </w:rPr>
        <w:t>订单数量、退款数量均为件，是正整数；可能为数值或文本，文本可带千位逗号及前后空格。订单“标价金额”是该行数量对应的总标价金额，已经是行总额，不再次乘数量。“行折扣额”是本行折扣金额。所有金额统一使用元，成本版本的单位成本使用元/件；各表“金额单位”列分别固定为“元”或“元/件”。所有金额及单位成本均保留两位小数，精确到分；数值金额、文本金额及图表金额显示均一致。文本金额可带千位逗号，0是已确认零值，空白不等于0。日期为ISO日字符串。</w:t>
      </w:r>
    </w:p>
    <w:p>
      <w:r>
        <w:rPr>
          <w:rFonts w:eastAsia="宋体" w:ascii="Times New Roman" w:hAnsi="Times New Roman" w:cs="Times New Roman"/>
        </w:rPr>
        <w:t>促销标记只有“促销”“非促销”，以原订单行为准，不根据折扣额推断。客户类型为企业或个人；客户渠道空白表示真实缺口，统一汇总到“未知渠道”，不能依据客户名称、部门或其他客户猜填。非空渠道以维度表为准。</w:t>
      </w:r>
    </w:p>
    <w:p>
      <w:r>
        <w:rPr>
          <w:rFonts w:eastAsia="宋体" w:ascii="Times New Roman" w:hAnsi="Times New Roman" w:cs="Times New Roman"/>
        </w:rPr>
        <w:t>本批各地区、月份、部门的每个SKU均有促销与非促销已完成正额业务，促销状态不再由地区决定。仍须按实际记录检查联合层内共同支持范围；具备双组记录不代表随机分配，不能自动识别促销因果效果。</w:t>
      </w:r>
    </w:p>
    <w:p>
      <w:r>
        <w:rPr>
          <w:rFonts w:eastAsia="宋体" w:ascii="Times New Roman" w:hAnsi="Times New Roman" w:cs="Times New Roman"/>
        </w:rPr>
        <w:t>订单状态为“已完成”或“已取消”：已完成进入销售；取消记录保留在明细与来源索引，收入、成本及毛利相关结果留空，状态“不适用”，不进入任何数值汇总。原始数量、标价金额、行折扣额仍保留。退款状态为“已通过”“待审批”“已驳回”；只有已通过退款生效，其余保留但退款额和成本结果留空、成本状态“不适用”。</w:t>
      </w:r>
    </w:p>
    <w:p>
      <w:pPr>
        <w:pStyle w:val="Heading1"/>
      </w:pPr>
      <w:r>
        <w:rPr>
          <w:rFonts w:eastAsia="宋体" w:ascii="Times New Roman" w:hAnsi="Times New Roman" w:cs="Times New Roman"/>
        </w:rPr>
        <w:t>三、折扣与退款</w:t>
      </w:r>
    </w:p>
    <w:p>
      <w:r>
        <w:rPr>
          <w:rFonts w:eastAsia="宋体" w:ascii="Times New Roman" w:hAnsi="Times New Roman" w:cs="Times New Roman"/>
        </w:rPr>
        <w:t>金额均以元列示，按分计算。每行折前分摊基数=标价金额−行折扣额。整单折扣按同单各行基数占比拆分。先对每行理论分摊分数向下取整，再把尚未分出的每1分钱依“小数余数从大到小、余数相同按订单行ID字典升序”逐一给各行。分摊总额必须等于整单折扣。基数总和为0时整单折扣为0，各行分摊0。折后销售额=基数−分摊额。取消订单不做业务分摊。</w:t>
      </w:r>
    </w:p>
    <w:p>
      <w:r>
        <w:rPr>
          <w:rFonts w:eastAsia="宋体" w:ascii="Times New Roman" w:hAnsi="Times New Roman" w:cs="Times New Roman"/>
        </w:rPr>
        <w:t>本批退款均属于原订单同一个月；按原订单所属月冲减原单部门、地区、渠道与促销组。本题不另做发生月口径。生效退款额=原订单行折后销售额×退货数量÷原订单行数量，每条退款四舍五入到分（ROUND_HALF_UP），全额退回自然等于原行折后额。最多每行一笔退款，退货数量不超过原行数量。不能按标价或未分摊整单折扣的金额退款。</w:t>
      </w:r>
    </w:p>
    <w:p>
      <w:r>
        <w:rPr>
          <w:rFonts w:eastAsia="宋体" w:ascii="Times New Roman" w:hAnsi="Times New Roman" w:cs="Times New Roman"/>
        </w:rPr>
        <w:t>退款“已确认退回成本”是已通过退款的实际确认库存回收价值；直接采用其元金额，不用退款金额或当前成本代替。0表示没有库存成本转回，非空正数才有转回。空白表示尚未确认退回成本，不可补0。退款待审批、驳回时该字段不生效。</w:t>
      </w:r>
    </w:p>
    <w:p>
      <w:pPr>
        <w:pStyle w:val="Heading1"/>
      </w:pPr>
      <w:r>
        <w:rPr>
          <w:rFonts w:eastAsia="宋体" w:ascii="Times New Roman" w:hAnsi="Times New Roman" w:cs="Times New Roman"/>
        </w:rPr>
        <w:t>四、成本、毛利及缺口</w:t>
      </w:r>
    </w:p>
    <w:p>
      <w:r>
        <w:rPr>
          <w:rFonts w:eastAsia="宋体" w:ascii="Times New Roman" w:hAnsi="Times New Roman" w:cs="Times New Roman"/>
        </w:rPr>
        <w:t>销售成本通过SKU和订单日期关联成本版本：生效日≤订单日期&lt;失效日，同一SKU不得同时命中两行。单位成本×原单数量=销售成本。没有命中版本时，成本版本ID记“未知”，单位成本、销售成本及成本来源留空，并列入缺口表，不取临近版本。已完成行若销售成本缺失或有生效退款成本缺失，则净成本、毛利额留空、成本状态“待核实”；折后销售额、退款额和净销售额仍可确认。</w:t>
      </w:r>
    </w:p>
    <w:p>
      <w:r>
        <w:rPr>
          <w:rFonts w:eastAsia="宋体" w:ascii="Times New Roman" w:hAnsi="Times New Roman" w:cs="Times New Roman"/>
        </w:rPr>
        <w:t>已完成行的退款额为其已通过退款额之和，没有生效退款则为已确认0。退回成本无生效退款时为0；有生效退款但退回成本空白时保留未知。净销售额=折后销售额−退款额。成本可确认时净成本=销售成本−退回成本，毛利额=净销售额−净成本。净销售额=0时收入状态“确认零额”，其他已完成行为“已确认”；不能因零额删除赠品、全额退款或其真实成本。</w:t>
      </w:r>
    </w:p>
    <w:p>
      <w:r>
        <w:rPr>
          <w:rFonts w:eastAsia="宋体" w:ascii="Times New Roman" w:hAnsi="Times New Roman" w:cs="Times New Roman"/>
        </w:rPr>
        <w:t>每组同时展示全部已确认收入与毛利可确认子集。“已确认毛利对应收入”为成本状态已确认各行净销售额之和，“已确认净成本”“已确认毛利”也只在这同一子集中求和。毛利率=已确认毛利÷已确认毛利对应收入，分母为0则留空且说明不适用；不得用全体收入作缺成本子集的毛利率分母。“毛利未知收入”是成本待核实行净销售额之和。“毛利收入覆盖率”=已确认毛利对应收入÷净销售额，净销售额为0则留空。比率保留至少6位小数或等效百分比精度，显示可用两位百分数；金额到分。</w:t>
      </w:r>
    </w:p>
    <w:p>
      <w:pPr>
        <w:pStyle w:val="Heading1"/>
      </w:pPr>
      <w:r>
        <w:rPr>
          <w:rFonts w:eastAsia="宋体" w:ascii="Times New Roman" w:hAnsi="Times New Roman" w:cs="Times New Roman"/>
        </w:rPr>
        <w:t>五、交付字段与分析</w:t>
      </w:r>
    </w:p>
    <w:p>
      <w:r>
        <w:rPr>
          <w:rFonts w:eastAsia="宋体" w:ascii="Times New Roman" w:hAnsi="Times New Roman" w:cs="Times New Roman"/>
        </w:rPr>
        <w:t>结果保存到 /tmp_workspace/results/促销毛利分析.xlsx。为便于跨部门复核，使用下列工作表名和字段名；列和明细行可任意排序，可增加解释字段。数值可为值或具有有效计算值的公式，不能把未知写成数值0。所有结果金额统一元。不得覆盖原文件。</w:t>
      </w:r>
    </w:p>
    <w:p>
      <w:pPr>
        <w:pStyle w:val="Heading2"/>
      </w:pPr>
      <w:r>
        <w:rPr>
          <w:rFonts w:eastAsia="宋体" w:ascii="Times New Roman" w:hAnsi="Times New Roman" w:cs="Times New Roman"/>
        </w:rPr>
        <w:t>订单明细</w:t>
      </w:r>
    </w:p>
    <w:p>
      <w:r>
        <w:rPr>
          <w:rFonts w:eastAsia="宋体" w:ascii="Times New Roman" w:hAnsi="Times New Roman" w:cs="Times New Roman"/>
        </w:rPr>
        <w:t>订单行ID、订单ID、月份、地区、部门、客户ID、客户类型、渠道、SKU、促销标记、订单状态、数量、标价金额、行折扣额、整单分摊额、折后销售额、退款额、净销售额、成本版本ID、单位成本、销售成本、退回成本、净成本、毛利额、收入状态、成本状态、订单来源、客户来源、成本来源、折扣来源。</w:t>
      </w:r>
    </w:p>
    <w:p>
      <w:pPr>
        <w:pStyle w:val="Heading2"/>
      </w:pPr>
      <w:r>
        <w:rPr>
          <w:rFonts w:eastAsia="宋体" w:ascii="Times New Roman" w:hAnsi="Times New Roman" w:cs="Times New Roman"/>
        </w:rPr>
        <w:t>退款明细</w:t>
      </w:r>
    </w:p>
    <w:p>
      <w:r>
        <w:rPr>
          <w:rFonts w:eastAsia="宋体" w:ascii="Times New Roman" w:hAnsi="Times New Roman" w:cs="Times New Roman"/>
        </w:rPr>
        <w:t>退款ID、原订单行ID、订单ID、月份、部门、客户ID、SKU、退款状态、退货数量、退款额、退回成本、成本状态、退款来源、原单来源。</w:t>
      </w:r>
    </w:p>
    <w:p>
      <w:pPr>
        <w:pStyle w:val="Heading2"/>
      </w:pPr>
      <w:r>
        <w:rPr>
          <w:rFonts w:eastAsia="宋体" w:ascii="Times New Roman" w:hAnsi="Times New Roman" w:cs="Times New Roman"/>
        </w:rPr>
        <w:t>分组指标</w:t>
      </w:r>
    </w:p>
    <w:p>
      <w:r>
        <w:rPr>
          <w:rFonts w:eastAsia="宋体" w:ascii="Times New Roman" w:hAnsi="Times New Roman" w:cs="Times New Roman"/>
        </w:rPr>
        <w:t>月份、分组类型、分组值、促销标记、有效订单行数、净数量、折后销售额、退款额、净销售额、已确认毛利对应收入、已确认净成本、已确认毛利、毛利率、毛利未知行数、毛利未知收入、毛利收入覆盖率。</w:t>
      </w:r>
    </w:p>
    <w:p>
      <w:r>
        <w:rPr>
          <w:rFonts w:eastAsia="宋体" w:ascii="Times New Roman" w:hAnsi="Times New Roman" w:cs="Times New Roman"/>
        </w:rPr>
        <w:t>每月分别按部门、地区、渠道三种分组，各组再分促销/非促销。分组类型固定用“部门”“地区”“渠道”；只列有已完成订单行的组。有效订单行数为原单已完成行数，不因全额退货删除；净数量=原单数量−已通过退货数量。</w:t>
      </w:r>
    </w:p>
    <w:p>
      <w:pPr>
        <w:pStyle w:val="Heading2"/>
      </w:pPr>
      <w:r>
        <w:rPr>
          <w:rFonts w:eastAsia="宋体" w:ascii="Times New Roman" w:hAnsi="Times New Roman" w:cs="Times New Roman"/>
        </w:rPr>
        <w:t>可比商品</w:t>
      </w:r>
    </w:p>
    <w:p>
      <w:r>
        <w:rPr>
          <w:rFonts w:eastAsia="宋体" w:ascii="Times New Roman" w:hAnsi="Times New Roman" w:cs="Times New Roman"/>
        </w:rPr>
        <w:t>月份、地区、部门、促销标记、可比SKU数、净数量、净销售额、已确认毛利对应收入、已确认毛利、毛利率、毛利未知收入、毛利收入覆盖率。</w:t>
      </w:r>
    </w:p>
    <w:p>
      <w:r>
        <w:rPr>
          <w:rFonts w:eastAsia="宋体" w:ascii="Times New Roman" w:hAnsi="Times New Roman" w:cs="Times New Roman"/>
        </w:rPr>
        <w:t>在每个“月份×地区×部门”内，取促销、非促销两组均存在已完成且折后销售额&gt;0的SKU交集，重新汇总这些SKU的全部已完成行（包括零额及全退行）。每个组合两组各一行。可比SKU数为交集大小；空交集两组数量金额记0，比率空白。毛利收入覆盖率仍为已确认毛利对应收入除以本表净销售额。不得合并不同地区后当作同地区对照。</w:t>
      </w:r>
    </w:p>
    <w:p>
      <w:pPr>
        <w:pStyle w:val="Heading2"/>
      </w:pPr>
      <w:r>
        <w:rPr>
          <w:rFonts w:eastAsia="宋体" w:ascii="Times New Roman" w:hAnsi="Times New Roman" w:cs="Times New Roman"/>
        </w:rPr>
        <w:t>分层商品</w:t>
      </w:r>
    </w:p>
    <w:p>
      <w:r>
        <w:rPr>
          <w:rFonts w:eastAsia="宋体" w:ascii="Times New Roman" w:hAnsi="Times New Roman" w:cs="Times New Roman"/>
        </w:rPr>
        <w:t>月份、地区、部门、渠道、客户类型、SKU、促销标记、有效订单行数、净数量、净销售额、已确认毛利对应收入、已确认毛利、毛利率、毛利未知收入、毛利收入覆盖率、标准化纳入、共同权重。</w:t>
      </w:r>
    </w:p>
    <w:p>
      <w:r>
        <w:rPr>
          <w:rFonts w:eastAsia="宋体" w:ascii="Times New Roman" w:hAnsi="Times New Roman" w:cs="Times New Roman"/>
        </w:rPr>
        <w:t>进一步按“月份×地区×部门×渠道×客户类型”联合分层。每个实际出现的层，对该层已完成订单的SKU并集列出促销、非促销两行；某组没有该SKU业务时，行数、数量、金额为0，零分母比率留空。每行聚合该SKU该组全部已完成记录，字段含义与分组指标相同。</w:t>
      </w:r>
    </w:p>
    <w:p>
      <w:r>
        <w:rPr>
          <w:rFonts w:eastAsia="宋体" w:ascii="Times New Roman" w:hAnsi="Times New Roman" w:cs="Times New Roman"/>
        </w:rPr>
        <w:t>同层共同SKU集合S：两组均有已完成且折后销售额&gt;0的SKU。标准化集合K：S中两组各自“已确认毛利对应收入”都大于0的SKU。渠道为未知渠道时K为空，不把未知渠道当作相同真实渠道。K内两组同SKU均标“标准化纳入=是”，共同权重均为1÷K中SKU数；其他标否、权重0。使用未舍入权重计算，保留至少6位小数，不因显示舍入改尾项权重。K内两组权重各自合计1；K为空合计0。成本不完整仍须保留该SKU毛利收入覆盖率，不能把部分可确认说成完整毛利。</w:t>
      </w:r>
    </w:p>
    <w:p>
      <w:pPr>
        <w:pStyle w:val="Heading2"/>
      </w:pPr>
      <w:r>
        <w:rPr>
          <w:rFonts w:eastAsia="宋体" w:ascii="Times New Roman" w:hAnsi="Times New Roman" w:cs="Times New Roman"/>
        </w:rPr>
        <w:t>分层比较</w:t>
      </w:r>
    </w:p>
    <w:p>
      <w:r>
        <w:rPr>
          <w:rFonts w:eastAsia="宋体" w:ascii="Times New Roman" w:hAnsi="Times New Roman" w:cs="Times New Roman"/>
        </w:rPr>
        <w:t>月份、地区、部门、渠道、客户类型、促销标记、共同SKU数、标准化SKU数、净销售额、已确认毛利对应收入、已确认毛利、毛利率、毛利未知收入、毛利收入覆盖率、标准化毛利率、标准化子集收入、标准化收入覆盖率、比较状态。</w:t>
      </w:r>
    </w:p>
    <w:p>
      <w:r>
        <w:rPr>
          <w:rFonts w:eastAsia="宋体" w:ascii="Times New Roman" w:hAnsi="Times New Roman" w:cs="Times New Roman"/>
        </w:rPr>
        <w:t>每个实际出现的联合层列促销、非促销两行。普通金额、毛利率和毛利收入覆盖率按该层该组全部已完成行计算，不限于共同SKU。共同SKU数为S大小，标准化SKU数为K大小，两组必须相同。标准化毛利率=K内各SKU毛利率乘共同权重后求和；不得改用各组自身销量或收入权重，也不对商品毛利率先舍入。标准化子集收入=K内已确认毛利对应收入之和；标准化收入覆盖率=标准化子集收入÷本层该组全部净销售额。K空时标准化毛利率空白、子集收入0；任何覆盖率分母0时空白。</w:t>
      </w:r>
    </w:p>
    <w:p>
      <w:r>
        <w:rPr>
          <w:rFonts w:eastAsia="宋体" w:ascii="Times New Roman" w:hAnsi="Times New Roman" w:cs="Times New Roman"/>
        </w:rPr>
        <w:t>比较状态依次判断：未知渠道写“未知渠道不参与标准化”；其他K为空写“无共同可确认SKU”；其余写“可比”。标准化率表示同渠道、同客户类型、同一商品等权结构下的已确认毛利率，不是全体业务的金额毛利率，也不是促销因果效果。只在同层比较两组，不直接把不同层的标准化率平均成总体结论。</w:t>
      </w:r>
    </w:p>
    <w:p>
      <w:pPr>
        <w:pStyle w:val="Heading2"/>
      </w:pPr>
      <w:r>
        <w:rPr>
          <w:rFonts w:eastAsia="宋体" w:ascii="Times New Roman" w:hAnsi="Times New Roman" w:cs="Times New Roman"/>
        </w:rPr>
        <w:t>缺口表</w:t>
      </w:r>
    </w:p>
    <w:p>
      <w:r>
        <w:rPr>
          <w:rFonts w:eastAsia="宋体" w:ascii="Times New Roman" w:hAnsi="Times New Roman" w:cs="Times New Roman"/>
        </w:rPr>
        <w:t>订单行ID、缺口类型、影响字段、待补材料、来源定位。</w:t>
      </w:r>
    </w:p>
    <w:p>
      <w:r>
        <w:rPr>
          <w:rFonts w:eastAsia="宋体" w:ascii="Times New Roman" w:hAnsi="Times New Roman" w:cs="Times New Roman"/>
        </w:rPr>
        <w:t>每个已完成订单行，按实际缺失分别列“缺渠道”“缺销售成本”“缺退回成本”，同一行可有多类。影响字段、待补材料和对应源位置要能支持后续补件。读取失败属于额外过程缺口，须在说明中如实写出受影响文件、sheet及指标，不伪造成业务空值。</w:t>
      </w:r>
    </w:p>
    <w:p>
      <w:pPr>
        <w:pStyle w:val="Heading2"/>
      </w:pPr>
      <w:r>
        <w:rPr>
          <w:rFonts w:eastAsia="宋体" w:ascii="Times New Roman" w:hAnsi="Times New Roman" w:cs="Times New Roman"/>
        </w:rPr>
        <w:t>来源索引</w:t>
      </w:r>
    </w:p>
    <w:p>
      <w:r>
        <w:rPr>
          <w:rFonts w:eastAsia="宋体" w:ascii="Times New Roman" w:hAnsi="Times New Roman" w:cs="Times New Roman"/>
        </w:rPr>
        <w:t>记录类型、记录ID、来源定位、处理结果。</w:t>
      </w:r>
    </w:p>
    <w:p>
      <w:r>
        <w:rPr>
          <w:rFonts w:eastAsia="宋体" w:ascii="Times New Roman" w:hAnsi="Times New Roman" w:cs="Times New Roman"/>
        </w:rPr>
        <w:t>覆盖原始订单、退款、客户、成本、折扣的全部业务ID记录。记录类型固定为“订单”“退款”“客户”“成本”“折扣”；处理结果写明纳入、取消不适用、退款未生效或维度依据。来源定位使用“文件名|sheet名|单元格区域”，例如“华东销售.xlsx|订单_2026-07|A5:L5”，多项用英文分号隔开。精确到本行或包含该行的正确记录单元格；订单明细还需相应客户、成本和整单折扣来源，退款明细同时需原单来源。</w:t>
      </w:r>
    </w:p>
    <w:p>
      <w:pPr>
        <w:pStyle w:val="Heading2"/>
      </w:pPr>
      <w:r>
        <w:rPr>
          <w:rFonts w:eastAsia="宋体" w:ascii="Times New Roman" w:hAnsi="Times New Roman" w:cs="Times New Roman"/>
        </w:rPr>
        <w:t>分析说明</w:t>
      </w:r>
    </w:p>
    <w:p>
      <w:r>
        <w:rPr>
          <w:rFonts w:eastAsia="宋体" w:ascii="Times New Roman" w:hAnsi="Times New Roman" w:cs="Times New Roman"/>
        </w:rPr>
        <w:t>主题、结论、数据依据、范围与限制。</w:t>
      </w:r>
    </w:p>
    <w:p>
      <w:r>
        <w:rPr>
          <w:rFonts w:eastAsia="宋体" w:ascii="Times New Roman" w:hAnsi="Times New Roman" w:cs="Times New Roman"/>
        </w:rPr>
        <w:t>至少说明两月销售规模变化与一个结构变化；按同地区同月同部门比较两组可比商品的规模、毛利率和毛利收入覆盖率；结合渠道及客户类型联合层，解释普通率与共同SKU等权标准化率的区别，并报告标准化收入覆盖率、未知渠道与无法标准化范围。结论引用具体层和商品，不能把不同地区或商品销量权重造成的差异归给促销。至少含销售规模/结构图和同层两组标准化毛利率图，标题、单位、层范围与指标对应。说明成本及渠道缺口影响和补件。分层及等权不能控制未观测差异或成本缺失选择，仍不得声称促销使销售增长或带来净增利润。</w:t>
      </w:r>
    </w:p>
    <w:p>
      <w:pPr>
        <w:pStyle w:val="Heading2"/>
      </w:pPr>
      <w:r>
        <w:rPr>
          <w:rFonts w:eastAsia="宋体" w:ascii="Times New Roman" w:hAnsi="Times New Roman" w:cs="Times New Roman"/>
        </w:rPr>
        <w:t>验收记录</w:t>
      </w:r>
    </w:p>
    <w:p>
      <w:r>
        <w:rPr>
          <w:rFonts w:eastAsia="宋体" w:ascii="Times New Roman" w:hAnsi="Times New Roman" w:cs="Times New Roman"/>
        </w:rPr>
        <w:t>核对项目、核对范围、核对方法、核对结果、证据位置。</w:t>
      </w:r>
    </w:p>
    <w:p>
      <w:r>
        <w:rPr>
          <w:rFonts w:eastAsia="宋体" w:ascii="Times New Roman" w:hAnsi="Times New Roman" w:cs="Times New Roman"/>
        </w:rPr>
        <w:t>实际核对并记录：全部指定工作表与有效区块覆盖（含隐藏行与非明细排除）、主键关联、折扣分摊及净额/成本守恒、地区及渠道客户分层、共同SKU集合、两组相同等权、毛利及标准化覆盖率、图表引用和结论依据。记录对象范围、方法、结果及可回查位置；可采用Excel或程序等任意等价核对方式，不要求指定脚本。未核对的范围如实说明。</w:t>
      </w:r>
    </w:p>
    <w:p>
      <w:pPr>
        <w:pStyle w:val="Heading1"/>
      </w:pPr>
      <w:r>
        <w:rPr>
          <w:rFonts w:eastAsia="宋体" w:ascii="Times New Roman" w:hAnsi="Times New Roman" w:cs="Times New Roman"/>
        </w:rPr>
        <w:t>六、对账关系与缺失表达</w:t>
      </w:r>
    </w:p>
    <w:p>
      <w:r>
        <w:rPr>
          <w:rFonts w:eastAsia="宋体" w:ascii="Times New Roman" w:hAnsi="Times New Roman" w:cs="Times New Roman"/>
        </w:rPr>
        <w:t>各月任意一种完整分组的净销售额之和都应一致；各组净销售额=已确认毛利对应收入+毛利未知收入。整单分摊总和、原单退款与退款明细、生效成本转回应能逐单勾稽。新增解释不能替代明细、缺口和来源。未知数值留空并配相应状态；不适用留空；零必须数值0。未发生退款的已完成行退款額与退回成本均为0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宋体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宋体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宋体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宋体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eastAsia="宋体" w:ascii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eastAsia="宋体" w:cs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宋体" w:ascii="Times New Roman" w:hAnsi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eastAsia="宋体"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宋体" w:ascii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eastAsia="宋体"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cstheme="majorBidi" w:ascii="Times New Roman" w:hAnsi="Times New Roman" w:eastAsia="宋体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cstheme="majorBidi" w:ascii="Times New Roman" w:hAnsi="Times New Roman" w:eastAsia="宋体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eastAsia="宋体" w:ascii="Times New Roman" w:hAnsi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eastAsia="宋体" w:ascii="Times New Roman" w:hAnsi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eastAsia="宋体" w:ascii="Times New Roman" w:hAnsi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eastAsia="宋体" w:ascii="Times New Roman" w:hAnsi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eastAsia="宋体" w:ascii="Times New Roman" w:hAnsi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eastAsia="宋体" w:ascii="Times New Roman" w:hAnsi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eastAsia="宋体" w:ascii="Times New Roman" w:hAnsi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eastAsia="宋体" w:ascii="Times New Roman" w:hAnsi="Times New Roman" w:cs="Times New Roman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eastAsia="宋体" w:ascii="Times New Roman" w:hAnsi="Times New Roman" w:cs="Times New Roman"/>
    </w:rPr>
  </w:style>
  <w:style w:type="numbering" w:default="1" w:styleId="NoList">
    <w:name w:val="No List"/>
    <w:uiPriority w:val="99"/>
    <w:semiHidden/>
    <w:unhideWhenUsed/>
    <w:rPr>
      <w:rFonts w:eastAsia="宋体" w:ascii="Times New Roman" w:hAnsi="Times New Roman" w:cs="Times New Roman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eastAsia="宋体"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eastAsia="宋体" w:ascii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eastAsia="宋体" w:ascii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eastAsia="宋体" w:ascii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 w:before="120"/>
      <w:contextualSpacing/>
    </w:pPr>
    <w:rPr>
      <w:rFonts w:cstheme="majorBidi" w:ascii="Times New Roman" w:hAnsi="Times New Roman" w:eastAsia="宋体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eastAsia="宋体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eastAsia="宋体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eastAsia="宋体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eastAsia="宋体" w:ascii="Times New Roman" w:hAnsi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eastAsia="宋体" w:ascii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eastAsia="宋体" w:ascii="Times New Roman" w:hAnsi="Times New Roman" w:cs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eastAsia="宋体" w:ascii="Times New Roman" w:hAnsi="Times New Roman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eastAsia="宋体" w:ascii="Times New Roman" w:hAnsi="Times New Roman" w:cs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宋体" w:ascii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eastAsia="宋体" w:ascii="Times New Roman" w:hAnsi="Times New Roman" w:cs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eastAsia="宋体" w:ascii="Times New Roman" w:hAnsi="Times New Roman" w:cs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eastAsia="宋体" w:ascii="Times New Roman" w:hAnsi="Times New Roman" w:cs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eastAsia="宋体" w:ascii="Times New Roman" w:hAnsi="Times New Roman" w:cs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eastAsia="宋体" w:ascii="Times New Roman" w:hAnsi="Times New Roman" w:cs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eastAsia="宋体" w:ascii="Times New Roman" w:hAnsi="Times New Roman" w:cs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eastAsia="宋体" w:ascii="Times New Roman" w:hAnsi="Times New Roman" w:cs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eastAsia="宋体" w:ascii="Times New Roman" w:hAnsi="Times New Roman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eastAsia="宋体" w:ascii="Times New Roman" w:hAnsi="Times New Roman" w:cs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eastAsia="宋体" w:ascii="Times New Roman" w:hAnsi="Times New Roman" w:cs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eastAsia="宋体" w:ascii="Times New Roman" w:hAnsi="Times New Roman" w:cs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eastAsia="宋体" w:ascii="Times New Roman" w:hAnsi="Times New Roman" w:cs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eastAsia="宋体" w:ascii="Times New Roman" w:hAnsi="Times New Roman" w:cs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宋体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宋体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eastAsia="宋体" w:ascii="Times New Roman" w:hAnsi="Times New Roman" w:cs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="宋体" w:ascii="Times New Roman" w:hAnsi="Times New Roman" w:cs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eastAsia="宋体" w:ascii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eastAsia="宋体" w:ascii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eastAsia="宋体" w:ascii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eastAsia="宋体" w:ascii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eastAsia="宋体" w:ascii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eastAsia="宋体" w:ascii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宋体" w:ascii="Times New Roman" w:hAnsi="Times New Roman" w:cs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eastAsia="宋体" w:ascii="Times New Roman" w:hAnsi="Times New Roman" w:cs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eastAsia="宋体" w:ascii="Times New Roman" w:hAnsi="Times New Roman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eastAsia="宋体" w:ascii="Times New Roman" w:hAnsi="Times New Roman" w:cs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="宋体" w:ascii="Times New Roman" w:hAnsi="Times New Roman" w:cs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eastAsia="宋体" w:ascii="Times New Roman" w:hAnsi="Times New Roman" w:cs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eastAsia="宋体" w:ascii="Times New Roman" w:hAnsi="Times New Roman" w:cs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eastAsia="宋体" w:ascii="Times New Roman" w:hAnsi="Times New Roman" w:cs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eastAsia="宋体" w:ascii="Times New Roman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eastAsia="宋体" w:ascii="Times New Roman" w:hAnsi="Times New Roman" w:cs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eastAsia="宋体" w:ascii="Times New Roman" w:hAnsi="Times New Roman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eastAsia="宋体" w:ascii="Times New Roman" w:hAnsi="Times New Roman" w:cs="Times New Roman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eastAsia="宋体" w:ascii="Times New Roman" w:hAnsi="Times New Roman" w:cs="Times New Roman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eastAsia="宋体" w:ascii="Times New Roman" w:hAnsi="Times New Roman" w:cs="Times New Roman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eastAsia="宋体" w:ascii="Times New Roman" w:hAnsi="Times New Roman" w:cs="Times New Roman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eastAsia="宋体" w:ascii="Times New Roman" w:hAnsi="Times New Roman" w:cs="Times New Roman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eastAsia="宋体" w:ascii="Times New Roman" w:hAnsi="Times New Roman" w:cs="Times New Roman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eastAsia="宋体" w:ascii="Times New Roman" w:hAnsi="Times New Roman" w:cs="Times New Roman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eastAsia="宋体" w:ascii="Times New Roman" w:hAnsi="Times New Roman" w:cs="Times New Roman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eastAsia="宋体" w:ascii="Times New Roman" w:hAnsi="Times New Roman" w:cs="Times New Roman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eastAsia="宋体" w:ascii="Times New Roman" w:hAnsi="Times New Roman" w:cs="Times New Roman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eastAsia="宋体" w:ascii="Times New Roman" w:hAnsi="Times New Roman" w:cs="Times New Roman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eastAsia="宋体" w:ascii="Times New Roman" w:hAnsi="Times New Roman" w:cs="Times New Roman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eastAsia="宋体" w:ascii="Times New Roman" w:hAnsi="Times New Roman" w:cs="Times New Roman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eastAsia="宋体" w:ascii="Times New Roman" w:hAnsi="Times New Roman" w:cs="Times New Roman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eastAsia="宋体" w:ascii="Times New Roman" w:hAnsi="Times New Roman" w:cs="Times New Roman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eastAsia="宋体" w:ascii="Times New Roman" w:hAnsi="Times New Roman" w:cs="Times New Roman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eastAsia="宋体" w:ascii="Times New Roman" w:hAnsi="Times New Roman" w:cs="Times New Roman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eastAsia="宋体" w:ascii="Times New Roman" w:hAnsi="Times New Roman" w:cs="Times New Roman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eastAsia="宋体" w:ascii="Times New Roman" w:hAnsi="Times New Roman" w:cs="Times New Roman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eastAsia="宋体" w:ascii="Times New Roman" w:hAnsi="Times New Roman" w:cs="Times New Roman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eastAsia="宋体" w:ascii="Times New Roman" w:hAnsi="Times New Roman" w:cs="Times New Roman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eastAsia="宋体" w:ascii="Times New Roman" w:hAnsi="Times New Roman" w:cs="Times New Roman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eastAsia="宋体" w:ascii="Times New Roman" w:hAnsi="Times New Roman" w:cs="Times New Roman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eastAsia="宋体" w:ascii="Times New Roman" w:hAnsi="Times New Roman" w:cs="Times New Roman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eastAsia="宋体" w:ascii="Times New Roman" w:hAnsi="Times New Roman" w:cs="Times New Roman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eastAsia="宋体" w:ascii="Times New Roman" w:hAnsi="Times New Roman" w:cs="Times New Roman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eastAsia="宋体" w:ascii="Times New Roman" w:hAnsi="Times New Roman" w:cs="Times New Roman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eastAsia="宋体" w:ascii="Times New Roman" w:hAnsi="Times New Roman" w:cs="Times New Roman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eastAsia="宋体" w:ascii="Times New Roman" w:hAnsi="Times New Roman" w:cs="Times New Roman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cstheme="minorBidi" w:eastAsia="宋体" w:ascii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eastAsia="宋体" w:ascii="Times New Roman" w:hAnsi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eastAsia="宋体" w:ascii="Times New Roman" w:hAnsi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eastAsia="宋体" w:ascii="Times New Roman" w:hAnsi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eastAsia="宋体" w:ascii="Times New Roman" w:hAnsi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eastAsia="宋体" w:ascii="Times New Roman" w:hAnsi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eastAsia="宋体" w:ascii="Times New Roman" w:hAnsi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eastAsia="宋体" w:ascii="Times New Roman" w:hAnsi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eastAsia="宋体" w:ascii="Times New Roman" w:hAnsi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eastAsia="宋体" w:ascii="Times New Roman" w:hAnsi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eastAsia="宋体" w:ascii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eastAsia="宋体" w:ascii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eastAsia="宋体" w:ascii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eastAsia="宋体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eastAsia="宋体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eastAsia="宋体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eastAsia="宋体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宋体" w:ascii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eastAsia="宋体" w:ascii="Times New Roman" w:hAnsi="Times New Roman" w:cs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宋体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宋体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eastAsia="宋体" w:ascii="Times New Roman" w:hAnsi="Times New Roman" w:cs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="宋体" w:ascii="Times New Roman" w:hAnsi="Times New Roman" w:cs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eastAsia="宋体" w:ascii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eastAsia="宋体" w:ascii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eastAsia="宋体" w:ascii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eastAsia="宋体" w:ascii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eastAsia="宋体" w:ascii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eastAsia="宋体" w:ascii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宋体" w:ascii="Times New Roman" w:hAnsi="Times New Roman" w:cs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eastAsia="宋体" w:ascii="Times New Roman" w:hAnsi="Times New Roman" w:cs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eastAsia="宋体" w:ascii="Times New Roman" w:hAnsi="Times New Roman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eastAsia="宋体" w:ascii="Times New Roman" w:hAnsi="Times New Roman" w:cs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="宋体" w:ascii="Times New Roman" w:hAnsi="Times New Roman" w:cs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eastAsia="宋体" w:ascii="Times New Roman" w:hAnsi="Times New Roman" w:cs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eastAsia="宋体" w:ascii="Times New Roman" w:hAnsi="Times New Roman" w:cs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eastAsia="宋体" w:ascii="Times New Roman" w:hAnsi="Times New Roman" w:cs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eastAsia="宋体" w:ascii="Times New Roman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eastAsia="宋体" w:ascii="Times New Roman" w:hAnsi="Times New Roman" w:cs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eastAsia="宋体" w:ascii="Times New Roman" w:hAnsi="Times New Roman" w:cs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eastAsia="宋体" w:ascii="Times New Roman" w:hAnsi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</w:rPr>
    </w:tblStylePr>
    <w:tblStylePr w:type="nwCell">
      <w:rPr>
        <w:rFonts w:eastAsia="宋体" w:ascii="Times New Roman" w:hAnsi="Times New Roman" w:cs="Times New Roman"/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eastAsia="宋体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