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宋体" w:ascii="Times New Roman" w:hAnsi="Times New Roman" w:cs="Times New Roman"/>
        </w:rPr>
        <w:t>协作产品团队启用与席位留存</w:t>
      </w:r>
    </w:p>
    <w:p>
      <w:r>
        <w:rPr>
          <w:rFonts w:eastAsia="宋体" w:ascii="Times New Roman" w:hAnsi="Times New Roman" w:cs="Times New Roman"/>
        </w:rPr>
        <w:t>供运营分析人员使用的模拟业务口径。请据原始记录重算漏斗和留存，校核已有分析，为后续运营安排提供可核对的依据。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范围与材料</w:t>
      </w:r>
    </w:p>
    <w:p>
      <w:r>
        <w:rPr>
          <w:rFonts w:eastAsia="宋体" w:ascii="Times New Roman" w:hAnsi="Times New Roman" w:cs="Times New Roman"/>
        </w:rPr>
        <w:t>本题为模拟业务资料。分析 2026 年 8 月 1 日至 9 月 30 日创建的正式对象；北京时间，数据完整截止为 2026-10-01 00:00:00（不含）。用户与目标群.xlsx 的目标对象、用户清单，事件日志.xlsx 的全部渠道周表及同页补充批次，事件版本.xlsx 的版本映射，已有分析.xlsx 的历史漏斗均在范围内。测试对象不纳入。采集渠道只表示日志出口，统计归属以目标对象归属渠道为准。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字段与版本</w:t>
      </w:r>
    </w:p>
    <w:p>
      <w:r>
        <w:rPr>
          <w:rFonts w:eastAsia="宋体" w:ascii="Times New Roman" w:hAnsi="Times New Roman" w:cs="Times New Roman"/>
        </w:rPr>
        <w:t>事件编号是全局去重键，同号同内容导出只计一次，仍保留全部物理来源。用户编号稳定且不按姓名猜配；缺用户编号的事件不归属任何用户或团队。团队编号仅团队题使用，其他题空值为不适用。事件版本与事件代码联合映射标准事件，并核对发生时间落在版本生效起点（含）与失效起点（不含）之间，未登记版本排除。时长按逐行秒或毫秒换算，0 为真实零时长；测验分数只对测验适用，其他事件空白不补零。所有日期是本地时间字符串，说明、小计和重复表头不是事件。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缺口与来源</w:t>
      </w:r>
    </w:p>
    <w:p>
      <w:r>
        <w:rPr>
          <w:rFonts w:eastAsia="宋体" w:ascii="Times New Roman" w:hAnsi="Times New Roman" w:cs="Times New Roman"/>
        </w:rPr>
        <w:t>每条物理事件行给出文件名/工作表名/A行号、事件编号、对象编号、标准事件和处理状态。先判缺用户编号、用户未匹配、版本不适用，再判成员关系不适用、非目标对象、起点前事件，最后在有效事件中去重。重复行可任选一条为纳入，其余为重复导出。无法关联对象写未知，无法映射标准事件写未知。公开日志覆盖完整，因此成熟对象无合格事件是确认零；观察不足用未知，不计零留存。实际读取失败另列受影响文件、表和指标，不能宣称完整覆盖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Title"/>
      </w:pPr>
      <w:r>
        <w:rPr>
          <w:rFonts w:eastAsia="宋体" w:ascii="Times New Roman" w:hAnsi="Times New Roman" w:cs="Times New Roman"/>
        </w:rPr>
        <w:t>指标计算口径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漏斗与留存口径</w:t>
      </w:r>
    </w:p>
    <w:p>
      <w:r>
        <w:rPr>
          <w:rFonts w:eastAsia="宋体" w:ascii="Times New Roman" w:hAnsi="Times New Roman" w:cs="Times New Roman"/>
        </w:rPr>
        <w:t>以团队为漏斗对象，创建时点起 7×24 小时内依次邀请、成员加入、两名不同有效成员编辑；每步时间严格晚于前一步，第三步以加入后第二名不同成员首次编辑时点完成。只纳入用户清单中属于该团队且发生时点满足生效时间≤发生时间&lt;失效时间的事件；离席后的客户端残留日志排除。用户只属于一个团队，不按事件团队字段猜配。团队漏斗分母只含完整观察 7 天的正式团队。团队W2为创建日后第7至13日内至少两名不同有效成员编辑；席位W2为同一窗口内有编辑的用户，分母仅含在整个窗口持续有效的成员（生效≤窗口起点且失效≥窗口终点）。团队与席位分别计算；未成熟窗口为观察不足，已成熟但成员中途离席为不适用。团队留存不以漏斗完成为前提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分母与精度</w:t>
      </w:r>
    </w:p>
    <w:p>
      <w:r>
        <w:rPr>
          <w:rFonts w:eastAsia="宋体" w:ascii="Times New Roman" w:hAnsi="Times New Roman" w:cs="Times New Roman"/>
        </w:rPr>
        <w:t>每个正式对象都保留逐对象漏斗及每个适用周期的留存记录，按归属渠道汇总。漏斗展示成熟基数、各步到达数、上步数、步骤转化率及累计转化率；第一步上步数为成熟基数。留存展示可观察基数、留存数、观察不足数、不适用数及留存率。人数为整数，率用 0—1 数值保留六位小数、可用百分比显示；分母为零写不适用。各步标志用0或1，未达成的步骤事件写未达成；观察状态使用完整观察、观察不足或不适用。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旧表校核</w:t>
      </w:r>
    </w:p>
    <w:p>
      <w:r>
        <w:rPr>
          <w:rFonts w:eastAsia="宋体" w:ascii="Times New Roman" w:hAnsi="Times New Roman" w:cs="Times New Roman"/>
        </w:rPr>
        <w:t>已有分析是运营历史汇总，不能假定正确。核对各渠道首步骤去重对象数，给出原值、修正值及差额（原值减修正值），用源事件及去重对象举例解释差异。分析表的列名所表达的是去重用户数（团队题为去重团队数），不是事件行数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Title"/>
      </w:pPr>
      <w:r>
        <w:rPr>
          <w:rFonts w:eastAsia="宋体" w:ascii="Times New Roman" w:hAnsi="Times New Roman" w:cs="Times New Roman"/>
        </w:rPr>
        <w:t>交付与核对要求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交付与接口</w:t>
      </w:r>
    </w:p>
    <w:p>
      <w:r>
        <w:rPr>
          <w:rFonts w:eastAsia="宋体" w:ascii="Times New Roman" w:hAnsi="Times New Roman" w:cs="Times New Roman"/>
        </w:rPr>
        <w:t>结果保存为 results/用户行为分析.xlsx，采用下列工作表及字段名供下游读取，行列顺序不限，允许增加解释列，率可用Excel百分比样式，公式须有已计算缓存。来源集合顺序不限。对象漏斗：对象编号、归属渠道、起点日期、漏斗状态、步骤1、步骤2、步骤3、步骤1事件、步骤2事件、步骤3事件；留存明细：对象编号、归属渠道、起点日期、留存周期、观察状态、留存值；漏斗汇总：归属渠道、步骤、步骤名称、成熟基数、到达数、上步数、步骤转化率、累计转化率；留存汇总：归属渠道、留存周期、可观察基数、留存数、观察不足数、不适用数、留存率；来源索引：来源定位、事件编号、对象编号、标准事件、处理状态；旧表校核：归属渠道、指标、原值、修正值、差额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分析和实际核对</w:t>
      </w:r>
    </w:p>
    <w:p>
      <w:r>
        <w:rPr>
          <w:rFonts w:eastAsia="宋体" w:ascii="Times New Roman" w:hAnsi="Times New Roman" w:cs="Times New Roman"/>
        </w:rPr>
        <w:t>另交 results/分析与验收.md，说明最大流失环节、渠道可比差异、留存表现与数据缺口限制，引用具体数字及来源；提出一项与证据相符的运营建议，不把相关性写成因果。工作簿中提供漏斗与留存图表，能区分渠道和步骤或周期。实际检查全部相关sheet和区块覆盖、分母、公式或等价计算、图表与结论，记录方法、对象、结果及未验证范围。修正旧表后检查修正值，保留源文件不改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宋体" w:cs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宋体" w:cs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 w:ascii="Times New Roman" w:hAnsi="Times New Roman" w:cs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numbering" w:default="1" w:styleId="NoList">
    <w:name w:val="No List"/>
    <w:uiPriority w:val="99"/>
    <w:semiHidden/>
    <w:unhideWhenUsed/>
    <w:rPr>
      <w:rFonts w:eastAsia="宋体" w:ascii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宋体" w:cs="Times New Roman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 w:ascii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 w:ascii="Times New Roman" w:hAnsi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 w:ascii="Times New Roman" w:hAnsi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 w:ascii="Times New Roman" w:hAnsi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 w:ascii="Times New Roman" w:hAnsi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 w:ascii="Times New Roman" w:hAnsi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 w:ascii="Times New Roman" w:hAnsi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 w:ascii="Times New Roman" w:hAnsi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 w:ascii="Times New Roman" w:hAnsi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 w:ascii="Times New Roman" w:hAnsi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 w:ascii="Times New Roman" w:hAnsi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 w:ascii="Times New Roman" w:hAnsi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 w:ascii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