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EDBEA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连锁门店活动费用分摊与区域可比分析</w:t>
      </w:r>
    </w:p>
    <w:p w14:paraId="0E4D19D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一、范围、版本与字段</w:t>
      </w:r>
    </w:p>
    <w:p w14:paraId="7CD3E0D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范围为2026年8月1日至9月30日对象，两个活动“秋季上新、会</w:t>
      </w:r>
      <w:bookmarkStart w:id="0" w:name="_GoBack"/>
      <w:bookmarkEnd w:id="0"/>
      <w:r>
        <w:rPr>
          <w:rFonts w:hint="default" w:ascii="Times New Roman" w:hAnsi="Times New Roman" w:eastAsia="宋体" w:cs="Times New Roman"/>
        </w:rPr>
        <w:t>员专场”；截止2026年10月1日00:00，北京时间。所有工作表、甲乙批和隐藏补录均在范围内。旧汇总为V1，当前完整材料为V2；按类别+记录编号选择最高版本整行替换，禁止把新旧版本相加。</w:t>
      </w:r>
    </w:p>
    <w:p w14:paraId="30F582E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最新营销明细.xlsx按对象、触点、订单、退款、费用、分母、渠道（门店题另有分摊）分sheet。每sheet含两个区块，表头位置不固定；合并行是渠道范围标签，重复标题、说明、小计不是业务记录。金额逐行标元或分，分除以100转元；费用含服务费，费用金额×(1+服务费率)。</w:t>
      </w:r>
    </w:p>
    <w:p w14:paraId="20F419E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对象编号由对象记录编号提供，订单按对象编号连接，退款按订单编号连接，触点按客户编号及活动连接；名称不能替代编号。渠道优先级越小越优先。缺客户编号不猜测；无合格触点为未知归因。直接访问是已知渠道，不能混为未知。空分母代表未提供，不等于零；已知零分母的比率为不适用。</w:t>
      </w:r>
    </w:p>
    <w:p w14:paraId="2956F6D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外部分母是渠道平台确认的付费落地页有效访问次数，汇总范围与本期活动一致。直接访问在该系统内为确认零，不代表自然访问不存在，不用于付费转化率比较；其净额与归因对象仍需独立呈现。所有名称及记录为本题模拟业务数据。</w:t>
      </w:r>
    </w:p>
    <w:p w14:paraId="4659F6F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6209ABFA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归因与分析口径</w:t>
      </w:r>
    </w:p>
    <w:p w14:paraId="027D2104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二、归因及计算口径</w:t>
      </w:r>
    </w:p>
    <w:p w14:paraId="56D45E9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门店：对象代表一次到店订单机会。核销渠道非空时直接采用，优先于全部触点；否则取同客户、同活动、同门店、此前3×24小时内（两端含）最后一个非直接访问触点，无则用直接访问。同刻按渠道优先级及触点编号字典升序。已支付且对象时间≤支付时间&lt;截止的订单计入，转化数为订单数。费用按同活动渠道的分层权重分摊：核心商圈先四舍五入到分，社区门店承接余额，确保每笔守恒。</w:t>
      </w:r>
    </w:p>
    <w:p w14:paraId="3A887429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成功退款且退款时间&lt;截止才扣减，待审核和截止后退款排除；退款沿被归属订单渠道扣减，保留零额与全部退款。净额=支付额−成功退款额。未知归因净额单列，不分配给任何已知渠道。支付/退款逐对象汇总后保留两位；费用逐笔保留两位。金额采用四舍五入；比率以完整金额及整数分子分母计算，输出六位小数或等值百分数。</w:t>
      </w:r>
    </w:p>
    <w:p w14:paraId="3A3BC27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渠道指标按活动×渠道×分层（非门店题分层为全部）覆盖三个付费渠道、直接访问、未知，包括确认零对象组。费用只归同活动渠道；没有费用记录的直接访问和未知组为确认零费用。净回报倍数=净额/费用；获客成本=全部归因对象数对应的费用/对象数。外部分母按同活动渠道分层匹配，未提供为未知；不能用触点条数代替分母。</w:t>
      </w:r>
    </w:p>
    <w:p w14:paraId="5374C426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转化率=转化订单数/外部分母（有效访问次数）。非企业题线索获取率记不适用。</w:t>
      </w:r>
    </w:p>
    <w:p w14:paraId="39C4A100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门店题按核心商圈与社区门店分别算转化率，标准化转化率=两层转化率各乘50%后求和；任一层缺分母则标准化结果未知。原始合并率=总转化/总分母。需比较原始和标准化排序，结构差异不等于活动因果效果。</w:t>
      </w:r>
    </w:p>
    <w:p w14:paraId="5449F89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因明细中支付额和退款额来自合格订单，净额含未知归因；订单编号集合与退款编号集合以|分隔，空集合为无；未选择触点时触点编号和触点来源记不适用。来源定位采用文件名/sheet/A行号，对应原始记录起始单元格。来源索引覆盖全部原始有效记录行（包括被替换版本），状态为最新有效或历史版本。</w:t>
      </w:r>
    </w:p>
    <w:p w14:paraId="1EC1ABB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24916755">
      <w:pPr>
        <w:pStyle w:val="31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归因与分析口径</w:t>
      </w:r>
    </w:p>
    <w:p w14:paraId="4769FC96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三、交付与分析</w:t>
      </w:r>
    </w:p>
    <w:p w14:paraId="32336B8C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交付 results/营销分析.xlsx 和 results/分析与验收.md。工作簿采用下列中文表名和字段作为下游接口，允许重排列、行和添加辅助表；不限定计算软件、公式或脚本。各表应包含全量对象，数值可复算，图表须标清指标与不可比范围。</w:t>
      </w:r>
    </w:p>
    <w:p w14:paraId="3B6B79C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归因明细：对象编号、活动、渠道、分层、归因状态、触点编号、成熟状态、转化数、支付额、退款额、净额、对象来源、触点来源、订单编号集合、退款编号集合。</w:t>
      </w:r>
    </w:p>
    <w:p w14:paraId="1EA150F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渠道指标：活动、渠道、分层、对象数、成熟对象数、观察不足数、转化数、费用、净额、外部分母、转化率、获客成本、净回报倍数、线索获取率。</w:t>
      </w:r>
    </w:p>
    <w:p w14:paraId="3F63693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费用分摊：费用编号、活动、渠道、分层、费用、费用来源、权重来源。</w:t>
      </w:r>
    </w:p>
    <w:p w14:paraId="611D42F5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来源索引：来源定位、类别、记录编号、版本、采用状态。</w:t>
      </w:r>
    </w:p>
    <w:p w14:paraId="6ED30C4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标准化比较：活动、渠道、标准化转化率、原始合并转化率。</w:t>
      </w:r>
    </w:p>
    <w:p w14:paraId="1C62E684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版本校核：活动、渠道、分层、旧净额、最新净额、净额变化、旧费用、最新费用、费用变化。</w:t>
      </w:r>
    </w:p>
    <w:p w14:paraId="44C7A701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版本校核说明V1到V2的净额和费用变化及受影响依赖；分析说明至少比较两个渠道的成本、转化与回报，引用活动/渠道指标和源记录，说明缺口、不可比范围、归因方法及建议，不能宣称因果增量。</w:t>
      </w:r>
    </w:p>
    <w:p w14:paraId="5ABFA5FE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验收记录写明实际检查的来源sheet及隐藏补录、最新版本、关联键、金额与分母、图表和结论，并提供检查对象、方法、结果及差异处置。未完成读取须注明文件、sheet和受影响指标；自报通过不能代替实际执行证据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 w:ascii="Times New Roman" w:hAnsi="Times New Roman" w:cs="Times New Roman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 w:ascii="Times New Roman" w:hAnsi="Times New Roman"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rPr>
          <w:rFonts w:eastAsia="宋体" w:ascii="Times New Roman" w:hAnsi="Times New Roman" w:cs="Times New Roman"/>
        </w:rPr>
        <w:separator/>
      </w:r>
    </w:p>
  </w:footnote>
  <w:footnote w:type="continuationSeparator" w:id="1">
    <w:p>
      <w:pPr>
        <w:spacing w:before="0" w:after="0" w:line="276" w:lineRule="auto"/>
      </w:pPr>
      <w:r>
        <w:rPr>
          <w:rFonts w:eastAsia="宋体" w:ascii="Times New Roman" w:hAnsi="Times New Roman"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Times New Roman" w:hAnsi="Times New Roman" w:eastAsia="宋体" w:cs="Times New Roman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Times New Roman" w:hAnsi="Times New Roman" w:eastAsia="宋体" w:cs="Times New Roman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Times New Roman" w:hAnsi="Times New Roman" w:eastAsia="宋体" w:cs="Times New Roman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972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cstheme="minorBidi" w:eastAsia="宋体" w:ascii="Times New Roman" w:hAnsi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宋体" w:cstheme="minorBidi" w:cs="Times New Roman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cstheme="majorBidi" w:eastAsia="宋体" w:ascii="Times New Roman" w:hAnsi="Times New Roman" w:cs="Times New Roman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cstheme="majorBidi" w:eastAsia="宋体" w:ascii="Times New Roman" w:hAnsi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cstheme="majorBidi"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cstheme="majorBidi" w:eastAsia="宋体" w:ascii="Times New Roman" w:hAnsi="Times New Roman" w:cs="Times New Roman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cstheme="majorBidi" w:eastAsia="宋体" w:ascii="Times New Roman" w:hAnsi="Times New Roman" w:cs="Times New Roman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cstheme="majorBidi" w:eastAsia="宋体" w:ascii="Times New Roman" w:hAnsi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cstheme="majorBidi" w:eastAsia="宋体" w:ascii="Times New Roman" w:hAnsi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  <w:rPr>
      <w:rFonts w:eastAsia="宋体" w:ascii="Times New Roman" w:hAnsi="Times New Roman" w:cs="Times New Roman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cstheme="minorBidi" w:eastAsia="宋体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宋体" w:ascii="Times New Roman" w:hAnsi="Times New Roman" w:cs="Times New Roman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 w:ascii="Times New Roman" w:hAnsi="Times New Roman" w:cs="Times New Roman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宋体" w:ascii="Times New Roman" w:hAnsi="Times New Roman" w:cs="Times New Roman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="宋体" w:ascii="Times New Roman" w:hAnsi="Times New Roman" w:cs="Times New Roman"/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 w:ascii="Times New Roman" w:hAnsi="Times New Roman" w:cs="Times New Roman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 w:ascii="Times New Roman" w:hAnsi="Times New Roman" w:cs="Times New Roman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宋体" w:ascii="Times New Roman" w:hAnsi="Times New Roman" w:cs="Times New Roman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 w:ascii="Times New Roman" w:hAnsi="Times New Roman" w:cs="Times New Roman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宋体" w:ascii="Times New Roman" w:hAnsi="Times New Roman" w:cs="Times New Roman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eastAsia="宋体" w:ascii="Times New Roman" w:hAnsi="Times New Roman" w:cs="Times New Roman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 w:ascii="Times New Roman" w:hAnsi="Times New Roman" w:cs="Times New Roman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 w:ascii="Times New Roman" w:hAnsi="Times New Roman" w:cs="Times New Roman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 w:ascii="Times New Roman" w:hAnsi="Times New Roman" w:cs="Times New Roman"/>
    </w:rPr>
  </w:style>
  <w:style w:type="paragraph" w:styleId="26">
    <w:name w:val="Subtitle"/>
    <w:basedOn w:val="1"/>
    <w:next w:val="1"/>
    <w:link w:val="142"/>
    <w:qFormat/>
    <w:uiPriority w:val="11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rFonts w:eastAsia="宋体" w:ascii="Times New Roman" w:hAnsi="Times New Roman" w:cs="Times New Roman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宋体" w:ascii="Times New Roman" w:hAnsi="Times New Roman" w:cs="Times New Roman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rFonts w:eastAsia="宋体" w:ascii="Times New Roman" w:hAnsi="Times New Roman" w:cs="Times New Roman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 w:ascii="Times New Roman" w:hAnsi="Times New Roman" w:cs="Times New Roman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cstheme="majorBidi" w:eastAsia="宋体" w:ascii="Times New Roman" w:hAnsi="Times New Roman" w:cs="Times New Roman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 w:ascii="Times New Roman" w:hAnsi="Times New Roman" w:cs="Times New Roman"/>
    </w:r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rFonts w:eastAsia="宋体" w:ascii="Times New Roman" w:hAnsi="Times New Roman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 w:ascii="Times New Roman" w:hAnsi="Times New Roman" w:cs="Times New Roman"/>
    </w:r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 w:ascii="Times New Roman" w:hAnsi="Times New Roman" w:cs="Times New Roman"/>
    </w:r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 w:ascii="Times New Roman" w:hAnsi="Times New Roman" w:cs="Times New Roman"/>
    </w:r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 w:ascii="Times New Roman" w:hAnsi="Times New Roman" w:cs="Times New Roman"/>
    </w:r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 w:ascii="Times New Roman" w:hAnsi="Times New Roman" w:cs="Times New Roman"/>
    </w:r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 w:ascii="Times New Roman" w:hAnsi="Times New Roman" w:cs="Times New Roman"/>
    </w:r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 w:ascii="Times New Roman" w:hAnsi="Times New Roman" w:cs="Times New Roman"/>
    </w:r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theme="majorBidi" w:eastAsia="宋体" w:ascii="Times New Roman" w:hAnsi="Times New Roman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cstheme="majorBidi" w:eastAsia="宋体" w:ascii="Times New Roman" w:hAnsi="Times New Roman" w:cs="Times New Roman"/>
        <w:b/>
        <w:bCs/>
      </w:rPr>
    </w:tblStylePr>
    <w:tblStylePr w:type="lastCol">
      <w:rPr>
        <w:rFonts w:cstheme="majorBidi"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 w:ascii="Times New Roman" w:hAnsi="Times New Roman" w:cs="Times New Roman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eastAsia="宋体" w:ascii="Times New Roman" w:hAnsi="Times New Roman" w:cs="Times New Roman"/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 w:ascii="Times New Roman" w:hAnsi="Times New Roman" w:cs="Times New Roman"/>
    </w:rPr>
  </w:style>
  <w:style w:type="table" w:styleId="69">
    <w:name w:val="Medium List 1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eastAsia="宋体" w:ascii="Times New Roman" w:hAnsi="Times New Roman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rFonts w:eastAsia="宋体" w:ascii="Times New Roman" w:hAnsi="Times New Roman" w:cs="Times New Roman"/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宋体" w:ascii="Times New Roman" w:hAnsi="Times New Roman" w:cs="Times New Roman"/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 w:ascii="Times New Roman" w:hAnsi="Times New Roman" w:cs="Times New Roman"/>
    </w:r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 w:ascii="Times New Roman" w:hAnsi="Times New Roman" w:cs="Times New Roman"/>
    </w:r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</w:rPr>
    </w:tblStylePr>
    <w:tblStylePr w:type="lastRow">
      <w:rPr>
        <w:rFonts w:eastAsia="宋体" w:ascii="Times New Roman" w:hAnsi="Times New Roman" w:cs="Times New Roman"/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cstheme="majorBidi"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eastAsia="宋体" w:ascii="Times New Roman" w:hAnsi="Times New Roman" w:cs="Times New Roman"/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 w:ascii="Times New Roman" w:hAnsi="Times New Roman" w:cs="Times New Roman"/>
    </w:r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 w:ascii="Times New Roman" w:hAnsi="Times New Roman" w:cs="Times New Roman"/>
    </w:r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 w:ascii="Times New Roman" w:hAnsi="Times New Roman" w:cs="Times New Roman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 w:ascii="Times New Roman" w:hAnsi="Times New Roman" w:cs="Times New Roman"/>
    </w:r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 w:ascii="Times New Roman" w:hAnsi="Times New Roman" w:cs="Times New Roman"/>
    </w:r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 w:ascii="Times New Roman" w:hAnsi="Times New Roman" w:cs="Times New Roman"/>
    </w:r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eastAsia="宋体" w:ascii="Times New Roman" w:hAnsi="Times New Roman" w:cs="Times New Roman"/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 w:ascii="Times New Roman" w:hAnsi="Times New Roman" w:cs="Times New Roman"/>
    </w:rPr>
  </w:style>
  <w:style w:type="table" w:styleId="104">
    <w:name w:val="Dark List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rFonts w:eastAsia="宋体" w:ascii="Times New Roman" w:hAnsi="Times New Roman" w:cs="Times New Roman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rFonts w:eastAsia="宋体" w:ascii="Times New Roman" w:hAnsi="Times New Roman" w:cs="Times New Roman"/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eastAsia="宋体" w:ascii="Times New Roman" w:hAnsi="Times New Roman" w:cs="Times New Roman"/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rFonts w:eastAsia="宋体" w:ascii="Times New Roman" w:hAnsi="Times New Roman" w:cs="Times New Roman"/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rFonts w:eastAsia="宋体" w:ascii="Times New Roman" w:hAnsi="Times New Roman" w:cs="Times New Roman"/>
        <w:b/>
        <w:bCs/>
      </w:rPr>
    </w:tblStylePr>
    <w:tblStylePr w:type="lastCol">
      <w:rPr>
        <w:rFonts w:eastAsia="宋体" w:ascii="Times New Roman" w:hAnsi="Times New Roman" w:cs="Times New Roman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rFonts w:eastAsia="宋体" w:ascii="Times New Roman" w:hAnsi="Times New Roman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eastAsia="宋体" w:ascii="Times New Roman" w:hAnsi="Times New Roman" w:cs="Times New Roman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eastAsia="宋体" w:ascii="Times New Roman" w:hAnsi="Times New Roman" w:cs="Times New Roman"/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rFonts w:eastAsia="宋体" w:ascii="Times New Roman" w:hAnsi="Times New Roman" w:cs="Times New Roman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 w:ascii="Times New Roman" w:hAnsi="Times New Roman" w:cs="Times New Roman"/>
      <w:b/>
      <w:bCs/>
    </w:rPr>
  </w:style>
  <w:style w:type="character" w:styleId="134">
    <w:name w:val="Emphasis"/>
    <w:basedOn w:val="132"/>
    <w:qFormat/>
    <w:uiPriority w:val="20"/>
    <w:rPr>
      <w:rFonts w:eastAsia="宋体" w:ascii="Times New Roman" w:hAnsi="Times New Roman" w:cs="Times New Roman"/>
      <w:i/>
      <w:iCs/>
    </w:rPr>
  </w:style>
  <w:style w:type="character" w:customStyle="1" w:styleId="135">
    <w:name w:val="Header Char"/>
    <w:basedOn w:val="132"/>
    <w:link w:val="25"/>
    <w:uiPriority w:val="99"/>
    <w:rPr>
      <w:rFonts w:eastAsia="宋体" w:ascii="Times New Roman" w:hAnsi="Times New Roman" w:cs="Times New Roman"/>
    </w:rPr>
  </w:style>
  <w:style w:type="character" w:customStyle="1" w:styleId="136">
    <w:name w:val="Footer Char"/>
    <w:basedOn w:val="132"/>
    <w:link w:val="24"/>
    <w:uiPriority w:val="99"/>
    <w:rPr>
      <w:rFonts w:eastAsia="宋体" w:ascii="Times New Roman" w:hAnsi="Times New Roman" w:cs="Times New Roman"/>
    </w:rPr>
  </w:style>
  <w:style w:type="paragraph" w:styleId="137">
    <w:name w:val="No Spacing"/>
    <w:qFormat/>
    <w:uiPriority w:val="1"/>
    <w:pPr>
      <w:spacing w:after="0" w:line="240" w:lineRule="auto"/>
    </w:pPr>
    <w:rPr>
      <w:rFonts w:cstheme="minorBidi" w:eastAsia="宋体" w:ascii="Times New Roman" w:hAnsi="Times New Roman" w:cs="Times New Roman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cstheme="majorBidi" w:eastAsia="宋体" w:ascii="Times New Roman" w:hAnsi="Times New Roman" w:cs="Times New Roman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cstheme="majorBidi" w:eastAsia="宋体" w:ascii="Times New Roman" w:hAnsi="Times New Roman" w:cs="Times New Roman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cstheme="majorBidi" w:eastAsia="宋体" w:ascii="Times New Roman" w:hAnsi="Times New Roman" w:cs="Times New Roman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cstheme="majorBidi" w:eastAsia="宋体" w:ascii="Times New Roman" w:hAnsi="Times New Roman" w:cs="Times New Roman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cstheme="majorBidi" w:eastAsia="宋体" w:ascii="Times New Roman" w:hAnsi="Times New Roman" w:cs="Times New Roman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 w:ascii="Times New Roman" w:hAnsi="Times New Roman" w:cs="Times New Roman"/>
    </w:rPr>
  </w:style>
  <w:style w:type="character" w:customStyle="1" w:styleId="144">
    <w:name w:val="Body Text Char"/>
    <w:basedOn w:val="132"/>
    <w:link w:val="19"/>
    <w:uiPriority w:val="99"/>
    <w:rPr>
      <w:rFonts w:eastAsia="宋体" w:ascii="Times New Roman" w:hAnsi="Times New Roman" w:cs="Times New Roman"/>
    </w:rPr>
  </w:style>
  <w:style w:type="character" w:customStyle="1" w:styleId="145">
    <w:name w:val="Body Text 2 Char"/>
    <w:basedOn w:val="132"/>
    <w:link w:val="28"/>
    <w:uiPriority w:val="99"/>
    <w:rPr>
      <w:rFonts w:eastAsia="宋体" w:ascii="Times New Roman" w:hAnsi="Times New Roman" w:cs="Times New Roman"/>
    </w:rPr>
  </w:style>
  <w:style w:type="character" w:customStyle="1" w:styleId="146">
    <w:name w:val="Body Text 3 Char"/>
    <w:basedOn w:val="132"/>
    <w:link w:val="17"/>
    <w:uiPriority w:val="99"/>
    <w:rPr>
      <w:rFonts w:eastAsia="宋体" w:ascii="Times New Roman" w:hAnsi="Times New Roman" w:cs="Times New Roman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 w:ascii="Times New Roman" w:hAnsi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 w:ascii="Times New Roman" w:hAnsi="Times New Roman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cstheme="majorBidi"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cstheme="majorBidi" w:eastAsia="宋体" w:ascii="Times New Roman" w:hAnsi="Times New Roman" w:cs="Times New Roman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cstheme="majorBidi" w:eastAsia="宋体" w:ascii="Times New Roman" w:hAnsi="Times New Roman" w:cs="Times New Roman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cstheme="majorBidi" w:eastAsia="宋体" w:ascii="Times New Roman" w:hAnsi="Times New Roman" w:cs="Times New Roman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cstheme="majorBidi" w:eastAsia="宋体" w:ascii="Times New Roman" w:hAnsi="Times New Roman" w:cs="Times New Roman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cstheme="majorBidi" w:eastAsia="宋体" w:ascii="Times New Roman" w:hAnsi="Times New Roman" w:cs="Times New Roman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 w:ascii="Times New Roman" w:hAnsi="Times New Roman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 w:ascii="Times New Roman" w:hAnsi="Times New Roman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 w:ascii="Times New Roman" w:hAnsi="Times New Roman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 w:ascii="Times New Roman" w:hAnsi="Times New Roman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 w:ascii="Times New Roman" w:hAnsi="Times New Roman" w:cs="Times New Roman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zyzhao48</cp:lastModifiedBy>
  <dcterms:modified xsi:type="dcterms:W3CDTF">2026-10-19T02:03:55Z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D60E341B3F6A407BA80373748B03D62E_12</vt:lpwstr>
  </property>
</Properties>
</file>