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渠道售后协作约定</w:t>
      </w:r>
    </w:p>
    <w:p>
      <w:pPr>
        <w:pStyle w:val="Subtitle"/>
      </w:pPr>
      <w:r>
        <w:t>P26专项服务协作附件    2026年10月26日归档本</w:t>
      </w:r>
    </w:p>
    <w:p>
      <w:r>
        <w:rPr>
          <w:rFonts w:ascii="Microsoft YaHei" w:hAnsi="Microsoft YaHei" w:eastAsia="Microsoft YaHei"/>
          <w:b w:val="0"/>
          <w:color w:val="000000"/>
        </w:rPr>
        <w:t>本约定供云栈设备渠道服务部与下列渠道在P26桌面标签打印机专项换修期间协作使用。渠道应按自己当前负责的设备组织核实和联系；质量适用范围以已批准的质量文件及其有效补充为依据。本文同时约定资料交接和服务回报方式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color w:val="000000"/>
        </w:rPr>
        <w:t>协作人员与工作分工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61"/>
        <w:gridCol w:w="4989"/>
        <w:gridCol w:w="3175"/>
      </w:tblGrid>
      <w:tr>
        <w:trPr>
          <w:tblHeader/>
        </w:trPr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DCE6F1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渠道编码</w:t>
            </w:r>
          </w:p>
        </w:tc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DCE6F1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渠道名称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DCE6F1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服务接口</w:t>
            </w:r>
          </w:p>
        </w:tc>
      </w:tr>
      <w:tr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D01</w:t>
            </w:r>
          </w:p>
        </w:tc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青禾数码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林岚</w:t>
            </w:r>
          </w:p>
        </w:tc>
      </w:tr>
      <w:tr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D02</w:t>
            </w:r>
          </w:p>
        </w:tc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海川设备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周宁</w:t>
            </w:r>
          </w:p>
        </w:tc>
      </w:tr>
      <w:tr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D03</w:t>
            </w:r>
          </w:p>
        </w:tc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北辰商贸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许安</w:t>
            </w:r>
          </w:p>
        </w:tc>
      </w:tr>
      <w:tr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D04</w:t>
            </w:r>
          </w:p>
        </w:tc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南桥办公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陈琪</w:t>
            </w:r>
          </w:p>
        </w:tc>
      </w:tr>
      <w:tr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D05</w:t>
            </w:r>
          </w:p>
        </w:tc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澄江科技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吴桐</w:t>
            </w:r>
          </w:p>
        </w:tc>
      </w:tr>
      <w:tr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D06</w:t>
            </w:r>
          </w:p>
        </w:tc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山岚商用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赵新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 w:val="0"/>
          <w:color w:val="000000"/>
        </w:rPr>
        <w:t>云栈质量部解释质量范围、认定有效验证凭证及审批质量文件；渠道服务部汇总名单、对外话术和进展；制造、仓储、售后岗位对各自出具的业务记录负责。渠道服务接口协调本渠道的库存、运输和客户服务人员，不代表客户已接收通知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color w:val="000000"/>
        </w:rPr>
        <w:t>本轮交接与回报安排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2665"/>
        <w:gridCol w:w="5159"/>
      </w:tblGrid>
      <w:tr>
        <w:trPr>
          <w:tblHeader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DCE6F1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事项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DCE6F1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约定时间</w:t>
            </w:r>
          </w:p>
        </w:tc>
        <w:tc>
          <w:tcPr>
            <w:tcW w:type="dxa" w:w="515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DCE6F1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交付内容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资料交接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2026年10月26日18:00</w:t>
            </w:r>
          </w:p>
        </w:tc>
        <w:tc>
          <w:tcPr>
            <w:tcW w:type="dxa" w:w="515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按该时点形成第一轮名单；时区均为北京时间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渠道启动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2026年10月27日</w:t>
            </w:r>
          </w:p>
        </w:tc>
        <w:tc>
          <w:tcPr>
            <w:tcW w:type="dxa" w:w="515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使用审核后的通知与本渠道清单联系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接收及位置确认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2026年10月28日17:00前</w:t>
            </w:r>
          </w:p>
        </w:tc>
        <w:tc>
          <w:tcPr>
            <w:tcW w:type="dxa" w:w="515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确认收悉、实物位置和本渠道联系责任人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处置进展反馈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2026年10月30日17:00前</w:t>
            </w:r>
          </w:p>
        </w:tc>
        <w:tc>
          <w:tcPr>
            <w:tcW w:type="dxa" w:w="515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回报序列号、处理动作、证据及未完成原因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 w:val="0"/>
          <w:color w:val="000000"/>
        </w:rPr>
        <w:t>10月30日为本轮进展回报节点，并非对所有设备完成维修的承诺。无法按节点完成的，应填写原因、下一步和预计反馈时间，由渠道服务部继续协调。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 w:val="0"/>
          <w:color w:val="000000"/>
        </w:rPr>
        <w:t>客户联系与对外授权</w:t>
      </w:r>
    </w:p>
    <w:p>
      <w:r>
        <w:rPr>
          <w:rFonts w:ascii="Microsoft YaHei" w:hAnsi="Microsoft YaHei" w:eastAsia="Microsoft YaHei"/>
          <w:b w:val="0"/>
          <w:color w:val="000000"/>
        </w:rPr>
        <w:t>确认属于本次适用范围的设备，应暂停使用或销售；库存单独隔离并注明暂缓出库。在途设备优先申请拦截；无法拦截的，通知收货人签收后隔离，不投入使用。尚不能确认控制板身份或实物状态的，在确认前按设备当前状态暂停使用、销售及流转，补充设备铭牌、控制板号及实物流向信息。</w:t>
      </w:r>
    </w:p>
    <w:p>
      <w:r>
        <w:rPr>
          <w:rFonts w:ascii="Microsoft YaHei" w:hAnsi="Microsoft YaHei" w:eastAsia="Microsoft YaHei"/>
          <w:b w:val="0"/>
          <w:color w:val="000000"/>
        </w:rPr>
        <w:t>能够证明不适用本次专项范围的设备可正常使用；满足换修与验证要求的设备可结束本次设备处置。拆出的适用范围控制板仍由持有人封存退回，不得再次装入设备。已有有效销毁凭证的设备归档处理，不再要求客户安排换修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color w:val="000000"/>
        </w:rPr>
        <w:t>费用和承诺口径</w:t>
      </w:r>
    </w:p>
    <w:p>
      <w:r>
        <w:rPr>
          <w:rFonts w:ascii="Microsoft YaHei" w:hAnsi="Microsoft YaHei" w:eastAsia="Microsoft YaHei"/>
          <w:b w:val="0"/>
          <w:color w:val="000000"/>
        </w:rPr>
        <w:t>本专项批准的服务项目为免费检测与控制板更换，以及指定物流的往返运费。渠道向客户说明安排时，应将检测、维修预约与进展反馈区分表述。普遍整机退款、停工补偿或其他超出批准范围的诉求须提交个案审批，不得作为本专项统一承诺。</w:t>
      </w:r>
    </w:p>
    <w:p>
      <w:r>
        <w:rPr>
          <w:rFonts w:ascii="Microsoft YaHei" w:hAnsi="Microsoft YaHei" w:eastAsia="Microsoft YaHei"/>
          <w:b w:val="0"/>
          <w:color w:val="000000"/>
        </w:rPr>
        <w:t>对外说明应围绕已确认事实和实际安排，不使用“风险彻底消除”等无条件保证。遇到资料不完整的设备，应说明正在核实及临时安排，不将其直接表述为确认适用或确认不适用。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color w:val="000000"/>
        </w:rPr>
        <w:t>客户服务入口</w:t>
      </w:r>
    </w:p>
    <w:p>
      <w:r>
        <w:rPr>
          <w:rFonts w:ascii="Microsoft YaHei" w:hAnsi="Microsoft YaHei" w:eastAsia="Microsoft YaHei"/>
          <w:b w:val="0"/>
          <w:color w:val="000000"/>
        </w:rPr>
        <w:t>服务邮箱：support@yunzhan.example。工单入口：service.yunzhan.example/repair。渠道可协助客户提交设备序列号、设备铭牌及本次服务工单信息。上述地址供本业务资料使用；内部汇总不需要访问网站。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 w:val="0"/>
          <w:color w:val="000000"/>
        </w:rPr>
        <w:t>渠道数据分发与回执</w:t>
      </w:r>
    </w:p>
    <w:p>
      <w:r>
        <w:rPr>
          <w:rFonts w:ascii="Microsoft YaHei" w:hAnsi="Microsoft YaHei" w:eastAsia="Microsoft YaHei"/>
          <w:b w:val="0"/>
          <w:color w:val="000000"/>
        </w:rPr>
        <w:t>各渠道收到的正文和附件仅含其负责设备及完成联系所必需的信息。其他渠道的客户名称、客户联系方式、商业情况和进展不得混入本渠道附件，也不得留在隐藏工作表、隐藏列或批注中。内部全量汇总表只供云栈协作人员使用。</w:t>
      </w:r>
    </w:p>
    <w:p>
      <w:r>
        <w:rPr>
          <w:rFonts w:ascii="Microsoft YaHei" w:hAnsi="Microsoft YaHei" w:eastAsia="Microsoft YaHei"/>
          <w:b w:val="0"/>
          <w:color w:val="000000"/>
        </w:rPr>
        <w:t>经销商清单可以采用设备号和客户代号，联系人由本渠道在自有系统查询。分发前应按当前责任渠道拆分，不能简单按最早开票方分发。当前物流事实能确认服务责任渠道的，以该业务事件所载渠道为本轮接口。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color w:val="000000"/>
        </w:rPr>
        <w:t>回执覆盖范围</w:t>
      </w:r>
    </w:p>
    <w:p>
      <w:r>
        <w:rPr>
          <w:rFonts w:ascii="Microsoft YaHei" w:hAnsi="Microsoft YaHei" w:eastAsia="Microsoft YaHei"/>
          <w:b w:val="0"/>
          <w:color w:val="000000"/>
        </w:rPr>
        <w:t>回执应写明所针对的通知或清单版本，并列明对应设备。收到“全部处理”等汇总文字时，由服务接口核对其版本和列示范围。未列示的后续新增设备须另行确认。换修结案仍应具备设备与部件身份、有效更换记录和要求的验证凭证；回执用于确认渠道接收与落实，不单独替代上述凭证。</w:t>
      </w:r>
    </w:p>
    <w:p>
      <w:r>
        <w:rPr>
          <w:rFonts w:ascii="Microsoft YaHei" w:hAnsi="Microsoft YaHei" w:eastAsia="Microsoft YaHei"/>
          <w:b w:val="0"/>
          <w:color w:val="000000"/>
        </w:rPr>
        <w:t>当回执附有完整的安装、部件及验证资料，且记录无有效撤销或后续变化时，可按据结案。发生实物信息冲突时，向原出具岗位核实，保留双方证据编号和下一步，不能仅凭文件类型认定真伪。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color w:val="000000"/>
        </w:rPr>
        <w:t>建议回报字段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257"/>
      </w:tblGrid>
      <w:tr>
        <w:trPr>
          <w:tblHeader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DCE6F1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72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DCE6F1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填写口径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设备身份</w:t>
            </w:r>
          </w:p>
        </w:tc>
        <w:tc>
          <w:tcPr>
            <w:tcW w:type="dxa" w:w="72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设备UID及当前铭牌序列号；若铭牌变化，保留换标依据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所在位置</w:t>
            </w:r>
          </w:p>
        </w:tc>
        <w:tc>
          <w:tcPr>
            <w:tcW w:type="dxa" w:w="72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实际持有方或在途信息；未确认的目的地单列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处理记录</w:t>
            </w:r>
          </w:p>
        </w:tc>
        <w:tc>
          <w:tcPr>
            <w:tcW w:type="dxa" w:w="72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暂停使用、隔离、拦截、预约、换修、验证等实际动作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证明材料</w:t>
            </w:r>
          </w:p>
        </w:tc>
        <w:tc>
          <w:tcPr>
            <w:tcW w:type="dxa" w:w="72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工单、板件号、检验记录或签收凭证编号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未完事项</w:t>
            </w:r>
          </w:p>
        </w:tc>
        <w:tc>
          <w:tcPr>
            <w:tcW w:type="dxa" w:w="72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原因、负责接口及下次反馈安排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 w:val="0"/>
          <w:color w:val="000000"/>
        </w:rPr>
        <w:t>业务资料字段约定</w:t>
      </w:r>
    </w:p>
    <w:p>
      <w:r>
        <w:rPr>
          <w:rFonts w:ascii="Microsoft YaHei" w:hAnsi="Microsoft YaHei" w:eastAsia="Microsoft YaHei"/>
          <w:b w:val="0"/>
          <w:color w:val="000000"/>
        </w:rPr>
        <w:t>本附表供双方解释业务导出记录使用。业务记录中的设备UID为稳定身份；机身序列号可能随已批准的换标记录变更。部件序号用于识别一块具体控制板，位号CTRL表示本专项控制板安装位置。设备型号、销售单号及开票对象均不能替代设备或部件身份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597"/>
      </w:tblGrid>
      <w:tr>
        <w:trPr>
          <w:tblHeader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DCE6F1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记录类别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DCE6F1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关键字段与含义</w:t>
            </w:r>
          </w:p>
        </w:tc>
      </w:tr>
      <w:t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制造装拆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事件ID标识一次事件；业务发生时间表示实际动作，入账时间表示系统记录。工单号关联作业依据。INSTALL为安装，REMOVE为拆出。</w:t>
            </w:r>
          </w:p>
        </w:tc>
      </w:tr>
      <w:t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记录更正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CANCEL必须引用被撤销事件的事件ID。被有效撤销的原事件不参与当前关系；保留原记录用于追溯。重复导出的相同事件ID仅计一次。</w:t>
            </w:r>
          </w:p>
        </w:tc>
      </w:tr>
      <w:t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身份待补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UNKNOWN_INSTALL表示已发生换入但没有记录换入板序号；不能把之前拆出的板继续当作当前安装板。</w:t>
            </w:r>
          </w:p>
        </w:tc>
      </w:tr>
      <w:t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物流实物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SHIP表示已交运，处于在途；RECEIVE、RETURN_RECEIVE、TRANSFER_RECEIVE表示相应实际签收；目的地未签收前仍不是已确认持有方。</w:t>
            </w:r>
          </w:p>
        </w:tc>
      </w:tr>
      <w:t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财务与申请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RETURN_REQUEST、REFUND、CREDIT是申请或财务动作，不代表实物已到仓。</w:t>
            </w:r>
          </w:p>
        </w:tc>
      </w:tr>
      <w:t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销毁记录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DESTROY须与有效销毁凭证对应；仅有计划或申请不能记为已销毁。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 w:val="0"/>
          <w:color w:val="000000"/>
        </w:rPr>
        <w:t>渠道字段表示相应物流事件的服务责任渠道。当前责任按最新有效实物事实确定；在途记录应分别保存有证据的出发方或承运方和待签收目的地。若位置记录断档，应保留已知位置及待补证事项。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 w:val="0"/>
          <w:color w:val="000000"/>
        </w:rPr>
        <w:t>交接时点与记录修订</w:t>
      </w:r>
    </w:p>
    <w:p>
      <w:r>
        <w:rPr>
          <w:rFonts w:ascii="Microsoft YaHei" w:hAnsi="Microsoft YaHei" w:eastAsia="Microsoft YaHei"/>
          <w:b w:val="0"/>
          <w:color w:val="000000"/>
        </w:rPr>
        <w:t>本轮初始名单只使用业务发生时间和入账时间均不晚于2026年10月26日18:00的记录。各来源的时区统一为北京时间。检验记录系统即时写入，检验记录表的“业务时间”同时表示实际检验与出具入账时点。</w:t>
      </w:r>
    </w:p>
    <w:p>
      <w:r>
        <w:rPr>
          <w:rFonts w:ascii="Microsoft YaHei" w:hAnsi="Microsoft YaHei" w:eastAsia="Microsoft YaHei"/>
          <w:b w:val="0"/>
          <w:color w:val="000000"/>
        </w:rPr>
        <w:t>更正采用保留原记录并新增引用的方式。CANCEL所引用的原动作被撤销后，重建当前实物或装配关系时排除该动作；如原动作被后续纠正记录替代，按新的有效记录处理。出现不能自洽的身份或流向，应请求原出具部门复核，不通过删除记录消除冲突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color w:val="000000"/>
        </w:rPr>
        <w:t>文件批准</w:t>
      </w:r>
    </w:p>
    <w:p>
      <w:r>
        <w:rPr>
          <w:rFonts w:ascii="Microsoft YaHei" w:hAnsi="Microsoft YaHei" w:eastAsia="Microsoft YaHei"/>
          <w:b w:val="0"/>
          <w:color w:val="000000"/>
        </w:rPr>
        <w:t>本轮材料为待审核发送稿。渠道服务部审核正文、附件和客服口径一致后，由有发送权限的业务人员执行发送。编制人员不代为发送邮件、不代客户提交工单、不修改源业务系统。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color w:val="000000"/>
        </w:rPr>
        <w:t>授权确认</w:t>
      </w:r>
    </w:p>
    <w:p>
      <w:r>
        <w:rPr>
          <w:rFonts w:ascii="Microsoft YaHei" w:hAnsi="Microsoft YaHei" w:eastAsia="Microsoft YaHei"/>
          <w:b w:val="0"/>
          <w:color w:val="000000"/>
        </w:rPr>
        <w:t>云栈设备渠道服务部与质量部确认：本附件为P26专项服务协作口径，与已批准的质量通告共同使用；质量适用范围及验证要求以质量部有效文件为准。渠道可在不扩大承诺范围、不泄露其他渠道信息的前提下调整措辞和排期表达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/>
        </w:trPr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DCE6F1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编制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DCE6F1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复核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DCE6F1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归档日期</w:t>
            </w:r>
          </w:p>
        </w:tc>
      </w:tr>
      <w:tr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渠道服务部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质量部 服务运营接口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2026年10月26日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6" w:h="16838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000000"/>
        <w:sz w:val="16"/>
      </w:rPr>
      <w:t xml:space="preserve">云栈设备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snapToGrid w:val="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0"/>
      <w:outlineLvl w:val="0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  <w:snapToGrid w:val="0"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渠道售后协作约定</dc:title>
  <dc:subject/>
  <dc:creator>云栈设备渠道服务部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