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本期项目整改情况汇总</w:t>
      </w:r>
    </w:p>
    <w:p>
      <w:r>
        <w:t>统计截至 2026-06-14。依据本期项目台账，纳入3个项目、5个本轮整改事项；三个项目均有未闭环事项。有效处罚合计人民币48,500元，其中A17为24,000元，B24为24,500元，C31为0元。</w:t>
      </w:r>
    </w:p>
    <w:p>
      <w:r>
        <w:t>本期为2026-05-28至2026-06-14的巡检及后续补查。以下分别说明施工记录、监督站复查和卷宗办结，文书日期晚于统计截止日的结论只作后续材料列示。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098"/>
        <w:gridCol w:w="5783"/>
      </w:tblGrid>
      <w:tr>
        <w:trPr>
          <w:cantSplit/>
          <w:tblHeader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9"/>
              </w:rPr>
              <w:t>本轮事项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80" w:before="80"/>
            </w:pPr>
            <w:r>
              <w:rPr>
                <w:b/>
                <w:sz w:val="19"/>
              </w:rPr>
              <w:t>截至日概况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PRJ-A17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RN-077、RN-094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077复查合格，归档已受理但未办结；094获准延期，无复查结论。项目未闭环。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PRJ-B24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RN-083、RN-095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083复查不合格；095复查合格且归档办结。项目未闭环。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PRJ-C31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RN-091</w:t>
            </w:r>
          </w:p>
        </w:tc>
        <w:tc>
          <w:tcPr>
            <w:tcW w:type="dxa" w:w="57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19"/>
              </w:rPr>
              <w:t>施工、监理称完成；监督站第4、5跨合格，第6跨不合格，尚未闭环。</w:t>
            </w:r>
          </w:p>
        </w:tc>
      </w:tr>
    </w:tbl>
    <w:p/>
    <w:p>
      <w:r>
        <w:t>事项复查分布：合格2项、不合格1项、部分合格1项、无复查结论1项。归档办结的本轮事项仅RN-095一项；项目整体闭环数为0，未闭环数为3。材料共24份，含台账、移交邮件、历史材料及截止日后材料，工作表不另计文件数。</w:t>
      </w:r>
    </w:p>
    <w:p>
      <w:pPr>
        <w:pStyle w:val="Heading1"/>
      </w:pPr>
      <w:r>
        <w:t>项目身份与参建单位</w:t>
      </w:r>
    </w:p>
    <w:p>
      <w:r>
        <w:t>PRJ-A17  青岚湾二期3#楼幕墙工程</w:t>
        <w:br/>
        <w:t>建设单位：青岚置业有限公司；施工单位：澄筑幕墙工程有限公司；监管科室：质量安全一科。</w:t>
      </w:r>
    </w:p>
    <w:p>
      <w:r>
        <w:t>PRJ-B24  北辰仓储园冷链库消防改造</w:t>
        <w:br/>
        <w:t>建设单位：北辰供应链管理有限公司；施工单位：衡远机电安装有限公司；监管科室：消防工程科。</w:t>
      </w:r>
    </w:p>
    <w:p>
      <w:r>
        <w:t>PRJ-C31  星桥学校综合楼加固项目</w:t>
        <w:br/>
        <w:t>建设单位：星桥教育资产运营中心；施工单位：陆衡建设集团有限公司；监管科室：校舍专项组。</w:t>
      </w:r>
    </w:p>
    <w:p>
      <w:r>
        <w:br w:type="page"/>
      </w:r>
    </w:p>
    <w:p>
      <w:pPr>
        <w:pStyle w:val="Heading1"/>
      </w:pPr>
      <w:r>
        <w:t>PRJ A17 整改事项</w:t>
      </w:r>
    </w:p>
    <w:p>
      <w:pPr>
        <w:pStyle w:val="Heading2"/>
      </w:pPr>
      <w:r>
        <w:t>RN 2026 077 临边防护</w:t>
      </w:r>
    </w:p>
    <w:p>
      <w:r>
        <w:t>本轮问题为三层东侧临边及洞口防护缺失。2026-05-29签发的RN-2026-077确定处罚人民币18,000元、整改期限2026-06-06（原文18:00）。2026-06-07的RO-2026-041确认现场整改符合要求，复查合格，可转入闭环归档；原通知其余事项维持。</w:t>
      </w:r>
    </w:p>
    <w:p>
      <w:r>
        <w:t>台账“卷宗流转”显示2026-06-08申请、2026-06-09受理，办结日期和档号均为空。因此本事项施工整改已获监督站确认、复查合格，但尚不能写成归档已办结。下一步跟踪卷宗办结。</w:t>
      </w:r>
    </w:p>
    <w:p>
      <w:r>
        <w:t>签发前底稿为2026-05-21起草、2026-05-29收存，拟处罚人民币12,000元、拟期限2026-06-03，签发栏空白。2026-06-03的SN-2026-077A提出延期到2026-06-10，审批待签。这两份材料不改变生效金额和期限。</w:t>
      </w:r>
    </w:p>
    <w:p>
      <w:pPr>
        <w:pStyle w:val="Heading2"/>
      </w:pPr>
      <w:r>
        <w:t>RN 2026 094 吊篮安全锁</w:t>
      </w:r>
    </w:p>
    <w:p>
      <w:r>
        <w:t>2026-06-02通知要求补做安全锁检测并补齐报告，处罚人民币6,000元，原期限2026-06-09。案卷0608内YC-2026-094由监督站于2026-06-08批准并生效，只将期限调整为2026-06-18；处罚及停止使用要求仍有效。</w:t>
      </w:r>
    </w:p>
    <w:p>
      <w:r>
        <w:t>截至统计日未见该事项施工完成证据及监督站复查结论，归档也无办结记录。应完成检测、补齐报告并申请复查；未具备使用条件前停止使用该吊篮。项目不能因为077通过就整体闭环。</w:t>
      </w:r>
    </w:p>
    <w:p>
      <w:r>
        <w:br w:type="page"/>
      </w:r>
    </w:p>
    <w:p>
      <w:pPr>
        <w:pStyle w:val="Heading1"/>
      </w:pPr>
      <w:r>
        <w:t>PRJ B24 整改事项</w:t>
      </w:r>
    </w:p>
    <w:p>
      <w:pPr>
        <w:pStyle w:val="Heading2"/>
      </w:pPr>
      <w:r>
        <w:t>RN 2026 083 喷淋管网试压资料</w:t>
      </w:r>
    </w:p>
    <w:p>
      <w:r>
        <w:t>2026-05-30通知涉及消防喷淋支管试压记录不完整及隐蔽验收资料缺页，原处罚人民币26,500元、期限2026-06-12。监督站2026-06-11批准签发并生效的BG-2026-083将处罚更正为人民币24,500元，仅调整金额，期限仍为2026-06-12。</w:t>
      </w:r>
    </w:p>
    <w:p>
      <w:r>
        <w:t>2026-06-13的RO-2026-052复查不合格：试压记录缺第三方检测机构盖章，A-2段压力保持时间不符要求。虽已补交材料，整改尚未获合格确认。应补交符合要求的第三方试压报告并重新申请复查，未见归档办结证据。</w:t>
      </w:r>
    </w:p>
    <w:p>
      <w:r>
        <w:t>SN-2026-083B记录2026-06-05建议预缴人民币15,000元，处罚变更审批空白，不构成新处罚金额。RO-2026-056于2026-06-16由监督站复查合格，可进入闭环归档；属于截止日后的结果，不回填为6月14日状态。</w:t>
      </w:r>
    </w:p>
    <w:p>
      <w:r>
        <w:t>旧事项RN-2026-071的RO-2026-049于2026-05-18复查合格，原处罚人民币9,000元、期限2026-05-16，2026-05-19办结，档号DG-2026-009；它不覆盖本轮083。</w:t>
      </w:r>
    </w:p>
    <w:p>
      <w:pPr>
        <w:pStyle w:val="Heading2"/>
      </w:pPr>
      <w:r>
        <w:t>RN 2026 095 防火门闭门器</w:t>
      </w:r>
    </w:p>
    <w:p>
      <w:r>
        <w:t>2026-06-04通知针对东侧疏散门闭门器缺失，不予罚款即人民币0元，期限2026-06-09。RO-2026-054于2026-06-10确认补装及启闭测试合格，复查合格。台账记载2026-06-11申请和受理、2026-06-12办结，档号DG-2026-018，本事项已闭环。B24仍因083未通过而整体未闭环。</w:t>
      </w:r>
    </w:p>
    <w:p>
      <w:r>
        <w:br w:type="page"/>
      </w:r>
    </w:p>
    <w:p>
      <w:pPr>
        <w:pStyle w:val="Heading1"/>
      </w:pPr>
      <w:r>
        <w:t>PRJ C31 整改事项与范围核对</w:t>
      </w:r>
    </w:p>
    <w:p>
      <w:pPr>
        <w:pStyle w:val="Heading2"/>
      </w:pPr>
      <w:r>
        <w:t>RN 2026 091 脚手架连墙件</w:t>
      </w:r>
    </w:p>
    <w:p>
      <w:r>
        <w:t>原通知使用SCH-031和原工程名称。2026-05-26的LXD-2026-031联系单证明其变更为PRJ-C31，星桥路16号及立项号SG-2026-120未变，应归入同一项目。</w:t>
      </w:r>
    </w:p>
    <w:p>
      <w:r>
        <w:t>2026-05-31通知针对北立面第4至6跨连墙件数量不足及个别扣件未复紧，不予罚款即人民币0元，整改期限2026-06-04。</w:t>
      </w:r>
    </w:p>
    <w:p>
      <w:r>
        <w:t>SN-2026-091C于2026-06-02仅记材料到场，计划2026-06-03完成，监理复核待安排。ZG-2026-091于2026-06-03由施工单位报告第4至6跨全部施工完成；JL-2026-091于2026-06-04由衡川工程监理有限公司确认安装复核通过。</w:t>
      </w:r>
    </w:p>
    <w:p>
      <w:r>
        <w:t>监督站2026-06-12签发的RO-2026-053虽名为“复查意见补充页”，仍具有明确签发和分项结论：第4、5跨合格，第6跨数量补齐但扣件未复紧、不合格。本事项仅部分通过，不能记为整体合格，也不能写成没有监督站复查。应完成第6跨复紧、补充复核记录并重新申请该分项复查。处罚和期限未变，未见归档办结证据。</w:t>
      </w:r>
    </w:p>
    <w:p>
      <w:pPr>
        <w:pStyle w:val="Heading2"/>
      </w:pPr>
      <w:r>
        <w:t>历史事项与未纳入材料</w:t>
      </w:r>
    </w:p>
    <w:p>
      <w:r>
        <w:t>RN-2026-088于2026-05-27签发，涉及材料堵塞疏散通道，处罚人民币5,000元、期限2026-06-01；记录为口头确认完成，2026-05-28办结入档，档号DG-2026-010。它属于本轮起始日前的另一事项，不能据其归档认定091闭环。</w:t>
      </w:r>
    </w:p>
    <w:p>
      <w:r>
        <w:t>RN-2026-099属于PRJ-C13“星桥学校附属用房修缮”，虽与C31建设、施工单位相同，但地址为星桥支路8号，立项号SG-2026-204，不在本期登记项目中，也不是联系单中的别名。单列排除，其人民币3,000元及2026-06-05期限不计本期汇总。移交邮件为全包移交背景，不新增项目或整改事项。</w:t>
      </w:r>
    </w:p>
    <w:p>
      <w:r>
        <w:br w:type="page"/>
      </w:r>
    </w:p>
    <w:p>
      <w:pPr>
        <w:pStyle w:val="Heading1"/>
      </w:pPr>
      <w:r>
        <w:t>材料盘点与定位</w:t>
      </w:r>
    </w:p>
    <w:p>
      <w:r>
        <w:t>以下按相对input目录列示24份文件。正文文号、省略前缀的事项号与这里的具体文件对应；同号底稿按路径和日期区分。</w:t>
      </w:r>
    </w:p>
    <w:p>
      <w:r>
        <w:t>01  基础资料/本期项目台账.xlsx</w:t>
      </w:r>
    </w:p>
    <w:p>
      <w:r>
        <w:t>02  基础资料/工程名称变更联系单.docx</w:t>
      </w:r>
    </w:p>
    <w:p>
      <w:r>
        <w:t>03  基础资料/移交邮件.txt</w:t>
      </w:r>
    </w:p>
    <w:p>
      <w:r>
        <w:t>04  收文0529/RN-2026-077.docx</w:t>
      </w:r>
    </w:p>
    <w:p>
      <w:r>
        <w:t>05  发文0521/RN-2026-077.docx</w:t>
      </w:r>
    </w:p>
    <w:p>
      <w:r>
        <w:t>06  来文0603/SN-2026-077A.txt</w:t>
      </w:r>
    </w:p>
    <w:p>
      <w:r>
        <w:t>07  收文0607/RO-2026-041.pdf</w:t>
      </w:r>
    </w:p>
    <w:p>
      <w:r>
        <w:t>08  收文0602/RN-2026-094.docx</w:t>
      </w:r>
    </w:p>
    <w:p>
      <w:r>
        <w:t>09  案卷0608/关于RN-2026-094办理意见.pdf</w:t>
      </w:r>
    </w:p>
    <w:p>
      <w:r>
        <w:t>10  收文0530/RN-2026-083.docx</w:t>
      </w:r>
    </w:p>
    <w:p>
      <w:r>
        <w:t>11  来文0605/SN-2026-083B.txt</w:t>
      </w:r>
    </w:p>
    <w:p>
      <w:r>
        <w:t>12  收文0611/处理决定补充页.pdf</w:t>
      </w:r>
    </w:p>
    <w:p>
      <w:r>
        <w:br w:type="page"/>
      </w:r>
    </w:p>
    <w:p>
      <w:pPr>
        <w:pStyle w:val="Heading1"/>
      </w:pPr>
      <w:r>
        <w:t>材料盘点续</w:t>
      </w:r>
    </w:p>
    <w:p>
      <w:r>
        <w:t>13  收文0613/RO-2026-052.docx</w:t>
      </w:r>
    </w:p>
    <w:p>
      <w:r>
        <w:t>14  收文0616/RO-2026-056.pdf</w:t>
      </w:r>
    </w:p>
    <w:p>
      <w:r>
        <w:t>15  案卷0519/RO-2026-049.txt</w:t>
      </w:r>
    </w:p>
    <w:p>
      <w:r>
        <w:t>16  收文0604/RN-2026-095.docx</w:t>
      </w:r>
    </w:p>
    <w:p>
      <w:r>
        <w:t>17  收文0610/RO-2026-054.docx</w:t>
      </w:r>
    </w:p>
    <w:p>
      <w:r>
        <w:t>18  收文0531/RN-2026-091.docx</w:t>
      </w:r>
    </w:p>
    <w:p>
      <w:r>
        <w:t>19  来文0602/SN-2026-091C.txt</w:t>
      </w:r>
    </w:p>
    <w:p>
      <w:r>
        <w:t>20  来文0603/施工整改记录.txt</w:t>
      </w:r>
    </w:p>
    <w:p>
      <w:r>
        <w:t>21  来文0604/监理复核记录.txt</w:t>
      </w:r>
    </w:p>
    <w:p>
      <w:r>
        <w:t>22  收文0612/复查意见补充页.docx</w:t>
      </w:r>
    </w:p>
    <w:p>
      <w:r>
        <w:t>23  案卷0528/RN-2026-088.txt</w:t>
      </w:r>
    </w:p>
    <w:p>
      <w:r>
        <w:t>24  收文0601/RN-2026-099.txt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