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商用终端专项服务约定</w:t>
      </w:r>
    </w:p>
    <w:p>
      <w:r>
        <w:t>文件号 SVC-2026-01　2026年10月22日生效　保管部门 客户服务部</w:t>
      </w:r>
    </w:p>
    <w:p>
      <w:r>
        <w:t>本材料为模拟业务资料，供内部演练使用。本约定用于启曜QY-A100和QY-B200商用会议终端专项质量服务的受理、审批、客户沟通及完成确认。客户经理、服务调度、渠道及供应保障人员应使用经批准的范围和商业口径。</w:t>
      </w:r>
    </w:p>
    <w:p>
      <w:r>
        <w:t>服务团队先核实设备及当前部件，再确定适用动作。产品质量范围由质量负责人发布；客户服务负责核实持有人、交付路径与客户现场状态。售后数据库中的每条服务记录必须结合业务状态使用，预约、领料、发货与实施各有不同含义。</w:t>
      </w:r>
    </w:p>
    <w:p>
      <w:r>
        <w:t>本文件不授权对全部在售设备普遍召回，也不授权按客户全部采购量统一退款。其他普通保修事项继续按对应合同受理。专项质量处置中被明确认定的问题模组和标准上门服务免费。</w:t>
      </w:r>
    </w:p>
    <w:p>
      <w:r>
        <w:t>文件包含范围、商务权限、渠道联络、预约履约及结案规则。个案批准只在其列明的客户、设备、内容和有效期内改变相应条款，未涉及的规则继续适用。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角色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负责人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质量审核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沈岚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客户服务审核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周衡</w:t>
            </w:r>
          </w:p>
        </w:tc>
      </w:tr>
    </w:tbl>
    <w:p>
      <w:r>
        <w:br w:type="page"/>
      </w:r>
    </w:p>
    <w:p>
      <w:pPr>
        <w:pStyle w:val="Heading1"/>
      </w:pPr>
      <w:r>
        <w:t>受理范围和资产信息</w:t>
      </w:r>
    </w:p>
    <w:p>
      <w:r>
        <w:t>受理时登记整机串号、型号、客户提供的所在地点、当前联系路径以及相关服务单号。整机串号用于识别客户资产；质量批次判断应进一步追溯当前安装的模组SN和批次。采购日期或机箱标贴不替代模组身份。</w:t>
      </w:r>
    </w:p>
    <w:p>
      <w:r>
        <w:t>客户有换机、返厂、转售或内部移交时，服务团队保留前后关联，不删除原资产记录。历史持有人用于解释原交易，当前持有人用于安排实际处置；联系和通知路径仍受渠道条款约束。</w:t>
      </w:r>
    </w:p>
    <w:p>
      <w:r>
        <w:t>记录不足时可先受理核验，向有权联系人索取铭牌照片、当前模块信息、安装位置或原始服务签收。现场无法直接读取时安排技术协助，不按“无投诉”推定安全。</w:t>
      </w:r>
    </w:p>
    <w:p>
      <w:r>
        <w:t>核验记录应写明请求人、资料提供人、时间、证据位置和下一步责任人。不得将客户尚未回复记成默认同意；不得以销项压力补填实施日期。</w:t>
      </w:r>
    </w:p>
    <w:p>
      <w:r>
        <w:br w:type="page"/>
      </w:r>
    </w:p>
    <w:p>
      <w:pPr>
        <w:pStyle w:val="Heading1"/>
      </w:pPr>
      <w:r>
        <w:t>免费服务和商务权限</w:t>
      </w:r>
    </w:p>
    <w:p>
      <w:r>
        <w:t>对本次问题模组的专项处置免费，包含问题控制模组和标准上门。免费服务不以设备仍在普通保修期内为前提。客户现场需追加的装修、第三方网络改造等事项应另行确认，不能直接归入已经批准的标准服务。</w:t>
      </w:r>
    </w:p>
    <w:p>
      <w:r>
        <w:t>全额退款、整机升级和普遍延长质保并非本次默认待遇。销售人员无权单独扩大批准批次、设备数量或商务范围。需要新增承诺时，由客户服务负责人会同质量负责人审核，再按公司商务权限补充批准。</w:t>
      </w:r>
    </w:p>
    <w:p>
      <w:r>
        <w:t>客户经理可协助说明方案和预约，但不能在客户函中把申请事项写成已批准。已经撤回的批准不再形成新承诺；撤回仅涉及部分内容时，应保留仍然有效的其余授权。</w:t>
      </w:r>
    </w:p>
    <w:p>
      <w:r>
        <w:t>函稿应清楚区分免费永久处理、临时借机、普通保修和需要另行批准的诉求。客户提出赔偿或退款请求时，登记请求及待审状态，不把客户要求视为公司同意。</w:t>
      </w:r>
    </w:p>
    <w:p>
      <w:r>
        <w:br w:type="page"/>
      </w:r>
    </w:p>
    <w:p>
      <w:pPr>
        <w:pStyle w:val="Heading1"/>
      </w:pPr>
      <w:r>
        <w:t>渠道客户通知</w:t>
      </w:r>
    </w:p>
    <w:p>
      <w:r>
        <w:t>D02为本专项涉及的约定渠道。D02渠道转售的设备，由启曜客户服务部经D02授权窗口传递处置材料，由D02协调最终使用方，核实设备位置并收集接收确认。采购发票主体不直接等于当前持有人。</w:t>
      </w:r>
    </w:p>
    <w:p>
      <w:r>
        <w:t>渠道转售后的最终使用方需要获得与其设备有关的动作要求；不能只向原采购主体发出笼统通知后视为已经触达。启曜应追踪渠道回传的客户确认和现场实施信息。</w:t>
      </w:r>
    </w:p>
    <w:p>
      <w:r>
        <w:t>向D02提供必要的设备、方案及预约信息时，应按相应客户整理，避免把所有客户名单放进单一对外附件。未经另行授权，不绕开约定窗口直接形成新的商务承诺。</w:t>
      </w:r>
    </w:p>
    <w:p>
      <w:r>
        <w:t>本条只规定通知与协调路径，不改变问题设备的技术处置义务或免费范围。渠道未回复时持续追踪并升级给周衡，不能记为客户拒绝处置或已完成。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类型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通知路径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直销客户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客户服务部至授权联系人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D02转售设备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启曜至D02再协调最终使用方</w:t>
            </w:r>
          </w:p>
        </w:tc>
      </w:tr>
    </w:tbl>
    <w:p>
      <w:r>
        <w:br w:type="page"/>
      </w:r>
    </w:p>
    <w:p>
      <w:pPr>
        <w:pStyle w:val="Heading1"/>
      </w:pPr>
      <w:r>
        <w:t>临时措施和会议连续性</w:t>
      </w:r>
    </w:p>
    <w:p>
      <w:r>
        <w:t>客户会议连续性需求可以通过备用端或经批准的临时措施解决。临时服务应说明适用设备、有效期限、现场条件和下一次核实时间，并由质量与客户服务负责人共同批准。</w:t>
      </w:r>
    </w:p>
    <w:p>
      <w:r>
        <w:t>对已批准的网络隔离加备用端方案，原受影响终端停止承载业务，业务由备用端维持。服务人员需确认两项措施实际落实，记录确认人、时间与可复核证据。</w:t>
      </w:r>
    </w:p>
    <w:p>
      <w:r>
        <w:t>临时服务不取消永久换件需求，也不构成永久结案。客户的固定服务窗口只是排程约束。期限届满或条件不成立时，原终端保持停用，由服务负责人协调备用端及永久换件资源。</w:t>
      </w:r>
    </w:p>
    <w:p>
      <w:r>
        <w:t>临时方案批准内容与商务补偿分别管理。延保撤回不自动撤销仍有效的借机安排，借机有效也不能推导出延保承诺继续存在。</w:t>
      </w:r>
    </w:p>
    <w:p>
      <w:r>
        <w:br w:type="page"/>
      </w:r>
    </w:p>
    <w:p>
      <w:pPr>
        <w:pStyle w:val="Heading1"/>
      </w:pPr>
      <w:r>
        <w:t>备件和发运</w:t>
      </w:r>
    </w:p>
    <w:p>
      <w:r>
        <w:t>QY-A100使用SA2替换件，QY-B200使用SB2替换件，二者不可互换。库存由供应保障部按账面结存、有效预留、待检和质量放行区分。调度只使用可发资源，不以总库存作为可承诺数量。</w:t>
      </w:r>
    </w:p>
    <w:p>
      <w:r>
        <w:t>已确认采购到货日期可用于条件式安排，采购草案不得作为现货或必然到货。待检物料在实际放行前不能提前计入可发数量。</w:t>
      </w:r>
    </w:p>
    <w:p>
      <w:r>
        <w:t>本项目最早可于2026年10月31日在处置包审批通过后发运。标准物流时效为发运后两个自然日，实际签收仍需确认。排程应给出发运和预计到达两个节点，避免用一个日期代表安装完成。</w:t>
      </w:r>
    </w:p>
    <w:p>
      <w:r>
        <w:t>供应保障部出库记录应关联设备需求或服务单，服务团队避免为同一资产重复占料。拆下部件回收后进入隔离路径，不能以完好外观直接转为备用件。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替换件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SA2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SB2</w:t>
            </w:r>
          </w:p>
        </w:tc>
      </w:tr>
    </w:tbl>
    <w:p>
      <w:r>
        <w:br w:type="page"/>
      </w:r>
    </w:p>
    <w:p>
      <w:pPr>
        <w:pStyle w:val="Heading1"/>
      </w:pPr>
      <w:r>
        <w:t>服务预约和履约表达</w:t>
      </w:r>
    </w:p>
    <w:p>
      <w:r>
        <w:t>客户服务团队负责核对现场联系人、地点和可服务窗口。内部调度表中的计划时间，在客户确认前是预约建议。对客户应说明预计安排及依赖条件，不写成已经保证修复或保证结案。</w:t>
      </w:r>
    </w:p>
    <w:p>
      <w:r>
        <w:t>永久换件须在兼容替换件到位、现场条件满足以及服务人员确认后实施。客户允许上门的时间可作为排程约束，服务资源冲突时由周衡协调，不以擅自变更客户窗口解决。</w:t>
      </w:r>
    </w:p>
    <w:p>
      <w:r>
        <w:t>对服务资源不足、到货晚于窗口或现场身份不清的对象，台账保留未决事项、责任人及推进节点。可以安排分批服务，但不能通过把尚未处理设备从名单删除来满足数字。</w:t>
      </w:r>
    </w:p>
    <w:p>
      <w:r>
        <w:t>客户通知中的时间建议可因资源和确认结果调整。任何已实际发生的时间，都应能在实施或物流记录中核对。不得预填客户签收、现场完成或复测通过。</w:t>
      </w:r>
    </w:p>
    <w:p>
      <w:r>
        <w:br w:type="page"/>
      </w:r>
    </w:p>
    <w:p>
      <w:pPr>
        <w:pStyle w:val="Heading1"/>
      </w:pPr>
      <w:r>
        <w:t>完成记录和结案审核</w:t>
      </w:r>
    </w:p>
    <w:p>
      <w:r>
        <w:t>永久换件记录需要关联整机串号、新旧模组SN、实施时间和服务人员。实施后复测应明确结果，客户确认反映实际服务完成，不采用预先填写的日期或代签。</w:t>
      </w:r>
    </w:p>
    <w:p>
      <w:r>
        <w:t>厂内隔离对象保留返厂签收、隔离位置、数量及质量处理记录。隔离是风险控制状态，仍需返工、报废或其他经批准的库存处置；不能直接用现场修复回执关闭。</w:t>
      </w:r>
    </w:p>
    <w:p>
      <w:r>
        <w:t>有效排除对象应保留排除依据。已发生有效更换的对象核对实际安装与新模组；R3返工对象核对证书绑定、当前模组和复测通过。证据不足时保留待核，不出具排除证明。</w:t>
      </w:r>
    </w:p>
    <w:p>
      <w:r>
        <w:t>结案由服务责任人复核证据链，涉及质量判断的由质量中心审核。记录中应同时显示当前状态和下一步，避免把“已联系”“已预约”“已领料”混写成“已完成”。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后续事项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在用受影响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永久换件及复测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厂内隔离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库存质量处置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有效排除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保留依据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补证后再定</w:t>
            </w:r>
          </w:p>
        </w:tc>
      </w:tr>
    </w:tbl>
    <w:p>
      <w:r>
        <w:br w:type="page"/>
      </w:r>
    </w:p>
    <w:p>
      <w:pPr>
        <w:pStyle w:val="Heading1"/>
      </w:pPr>
      <w:r>
        <w:t>对外文件审定和信息范围</w:t>
      </w:r>
    </w:p>
    <w:p>
      <w:r>
        <w:t>质量负责人沈岚与客户服务负责人周衡共同审核处置包。客户通知发放前应完成适用对象、授权口径、可履行时间与附件清单复核。销售不能独立扩大范围或替代共同审核。</w:t>
      </w:r>
    </w:p>
    <w:p>
      <w:r>
        <w:t>客户函只包含该接收对象需要知道的资产及处置事项。内部全量台账可包含跨客户资料，但不可原样附在单个客户函后。通过渠道通知时仍按客户分别组织内容。</w:t>
      </w:r>
    </w:p>
    <w:p>
      <w:r>
        <w:t>文件应标明待审或批准状态，未取得批准不得伪造签章或写成已经发送。本资料中的存档姓名和时间是模拟批准记录，不授权制作真实电子签名。</w:t>
      </w:r>
    </w:p>
    <w:p>
      <w:r>
        <w:t>如发现已使用稿本包含失效承诺，应形成更正稿并明确替换范围；不能仅在内部台账修正而继续发送旧函。保留原版用于追溯，当前发放版使用清晰版本日期。</w:t>
      </w:r>
    </w:p>
    <w:p>
      <w:r>
        <w:br w:type="page"/>
      </w:r>
    </w:p>
    <w:p>
      <w:pPr>
        <w:pStyle w:val="Heading1"/>
      </w:pPr>
      <w:r>
        <w:t>职责和升级处理</w:t>
      </w:r>
    </w:p>
    <w:p>
      <w:r>
        <w:t>质量中心维护技术范围和证据要求，客户服务部维护客户行动与完成记录，供应保障部确认可发资源及到货，渠道按约定协助触达最终使用方。客户经理负责收集业务诉求，不能代替质量结论。</w:t>
      </w:r>
    </w:p>
    <w:p>
      <w:r>
        <w:t>身份无法确认、数据互相矛盾或客户联系受阻时，受理人员应将问题和已有证据交给相应责任人。客户服务负责人统一追踪未决事项，设定再次跟进时间。</w:t>
      </w:r>
    </w:p>
    <w:p>
      <w:r>
        <w:t>批准变更应写明被替换的内容及继续有效的内容。部门间口头讨论可以形成待办，但未经批准的讨论不进入对外承诺。业务截止时间后的新证据应另记，不能回填为截止前已知。</w:t>
      </w:r>
    </w:p>
    <w:p>
      <w:r>
        <w:t>服务团队保存工作簿、执行文件和客户函版本，确保资产数量、当前状态、备件安排及客户承诺一致。发现差异后先纠正当前发放版，并保留修改依据。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异常事项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升级对象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技术证据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沈岚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客户及资源协调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周衡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商务扩大申请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按公司权限另审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商用终端专项服务约定</dc:title>
  <dc:subject/>
  <dc:creator>启曜商用终端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