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工程质量安全限期整改通知书</w:t>
      </w:r>
    </w:p>
    <w:p>
      <w:r>
        <w:t>文书编号：RN-2026-077；签发日期：2026-05-29。</w:t>
      </w:r>
    </w:p>
    <w:p>
      <w:r>
        <w:t>项目编号：PRJ-A17；工程名称：青岚湾二期3#楼幕墙工程。</w:t>
      </w:r>
    </w:p>
    <w:p>
      <w:r>
        <w:t>建设单位：青岚置业有限公司；施工单位：澄筑幕墙工程有限公司。</w:t>
      </w:r>
    </w:p>
    <w:p>
      <w:r>
        <w:t>工程地址：青岚路88号；立项号：SG-2026-107。</w:t>
      </w:r>
    </w:p>
    <w:p>
      <w:r>
        <w:t>检查事项：三层东侧临边防护缺失，部分洞口仅以警示带围挡，未设置连续硬质防护。</w:t>
      </w:r>
    </w:p>
    <w:p>
      <w:r>
        <w:t>处理意见：于2026年6月6日18:00前完成连续硬质防护及洞口防护设置。</w:t>
      </w:r>
    </w:p>
    <w:p>
      <w:r>
        <w:t>处罚决定：人民币壹万捌仟元整（18,000元）。</w:t>
      </w:r>
    </w:p>
    <w:p>
      <w:r>
        <w:t>整改完成后应提交整改照片、监理复核记录并申请监督站复查。</w:t>
      </w:r>
    </w:p>
    <w:p>
      <w:r>
        <w:t>签发人：江牧；出具机关：澄江市建设工程质量安全监督站。</w:t>
      </w:r>
    </w:p>
    <w:p>
      <w:r>
        <w:t>送达对象：澄筑幕墙工程有限公司项目部。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