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 w:cs="Times New Roman"/>
        </w:rPr>
        <w:t>协销分摊与客户归属分析口径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一、任务与范围</w:t>
      </w:r>
    </w:p>
    <w:p>
      <w:r>
        <w:rPr>
          <w:rFonts w:ascii="Times New Roman" w:hAnsi="Times New Roman" w:eastAsia="宋体" w:cs="Times New Roman"/>
        </w:rPr>
        <w:t>请分析2026-08与2026-09集团销售规模、各地区与渠道结构，以及大客户部、区域直营部、渠道部的协销贡献和客户归属迁移。退款观察截止日为2026-10-05，全部数据采用公司内部口径，金额统一以人民币元计，单价为元/件。</w:t>
      </w:r>
    </w:p>
    <w:p>
      <w:r>
        <w:rPr>
          <w:rFonts w:ascii="Times New Roman" w:hAnsi="Times New Roman" w:eastAsia="宋体" w:cs="Times New Roman"/>
        </w:rPr>
        <w:t>三份地区订单簿的“2026-08订单”“2026-09订单”全部纳入。“退款流水.xlsx”“协销方案.xlsx”的六个“地区+月份”sheet全部纳入，月份按原单月分片。客户归属.xlsx三个“地区+归属历史”sheet全部纳入。“历史说明”sheet只作背景，不是业务记录。隐藏行仍属有效范围。重复标题、中间小计、页尾说明均不作为明细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二、字段与ID</w:t>
      </w:r>
    </w:p>
    <w:p>
      <w:r>
        <w:rPr>
          <w:rFonts w:ascii="Times New Roman" w:hAnsi="Times New Roman" w:eastAsia="宋体" w:cs="Times New Roman"/>
        </w:rPr>
        <w:t>订单行ID是唯一经济事实，不能因一单多个协销部门重复放大集团销售。客户ID才是关联键，同名不能合并。订单行包括生效日期、地区、渠道、商品类别、数量及单位、单价及单位、折扣率、状态。名称仅展示，订单中的地区是销售发生地区。</w:t>
      </w:r>
    </w:p>
    <w:p>
      <w:r>
        <w:rPr>
          <w:rFonts w:ascii="Times New Roman" w:hAnsi="Times New Roman" w:eastAsia="宋体" w:cs="Times New Roman"/>
        </w:rPr>
        <w:t>客户归属记录以客户ID关联，起止日期均含边界；按订单生效日期选择唯一有效归属。没有唯一有效归属时写“待确认”，不得套用最新归属，但已公开有效的协销方案仍可计算。客户迁移使用两个月末各自生效部门快照；若快照缺口则迁移状态待确认。</w:t>
      </w:r>
    </w:p>
    <w:p>
      <w:r>
        <w:rPr>
          <w:rFonts w:ascii="Times New Roman" w:hAnsi="Times New Roman" w:eastAsia="宋体" w:cs="Times New Roman"/>
        </w:rPr>
        <w:t>退款以订单行ID关联原单，金额为非负的折后退款金额，不再乘折扣。已确认且退款日期不晚于观察截止日才冲减原单生效月份、地区及原分摊方案；待审批不适用。退货数量也归原单月。</w:t>
      </w:r>
    </w:p>
    <w:p>
      <w:pPr>
        <w:pStyle w:val="Heading1"/>
      </w:pPr>
      <w:r>
        <w:rPr>
          <w:rFonts w:ascii="Times New Roman" w:hAnsi="Times New Roman" w:eastAsia="宋体" w:cs="Times New Roman"/>
        </w:rPr>
        <w:t>三、数值、状态和分摊</w:t>
      </w:r>
    </w:p>
    <w:p>
      <w:r>
        <w:rPr>
          <w:rFonts w:ascii="Times New Roman" w:hAnsi="Times New Roman" w:eastAsia="宋体" w:cs="Times New Roman"/>
        </w:rPr>
        <w:t>订单和退货的原始数量均为整数；不足整箱时以整数件记录。文本数值中的千分位逗号是展示符号。“箱”统一乘6为件。金额统一为元，单价统一为元/件，金额和单价均固定显示两位小数。折扣率可为小数或百分数，均为实收系数。订单折后额=件数×元/件单价×折扣率，逐单四舍五入到分（ROUND_HALF_UP）；仅已生效订单计入，取消订单保留原单与状态，指标为0且金额语义为不适用。</w:t>
      </w:r>
    </w:p>
    <w:p>
      <w:r>
        <w:rPr>
          <w:rFonts w:ascii="Times New Roman" w:hAnsi="Times New Roman" w:eastAsia="宋体" w:cs="Times New Roman"/>
        </w:rPr>
        <w:t>协销方案以订单行ID关联；在方案状态已生效、方案生效日期不晚于订单生效日的记录中选最大方案版本，版本内各行组成一个方案。草稿或更早版不混入。比例须在0至1且总和准确为1，同一部门在同一方案只出现一次；否则整单待确认，不强行归一化。没有生效方案也待确认。取消订单不需要分摊。</w:t>
      </w:r>
    </w:p>
    <w:p>
      <w:r>
        <w:rPr>
          <w:rFonts w:ascii="Times New Roman" w:hAnsi="Times New Roman" w:eastAsia="宋体" w:cs="Times New Roman"/>
        </w:rPr>
        <w:t>有效方案的折后额与退款额分别按比例拆分，部门名称按Unicode升序排列，前面部门四舍五入到分，最后部门取该单总额减前面已分金额以吸收分位尾差；净贡献=折后分摊额−退款分摊额。分摊净销量=原单净销量×比例，属于折算贡献量，允许小数，保留6位，不额外取整；展示时明确标注“折算贡献量”，以区别于整数实物数量。缺方案或比例不闭合时，将可确认折后额、退款额、净额和净销量全部计入“未分配池”，不猜部门。</w:t>
      </w:r>
    </w:p>
    <w:p>
      <w:r>
        <w:rPr>
          <w:rFonts w:ascii="Times New Roman" w:hAnsi="Times New Roman" w:eastAsia="宋体" w:cs="Times New Roman"/>
        </w:rPr>
        <w:t>原单净额=折后额−纳入退款；原单净销量=标准件数−纳入退货数量。明确为0且已生效的净额为确认零额，不等同缺失。渠道空白写“未知渠道”，仍计入集团及渠道结构分母。未知归属或未知分摊只影响相应维度，不抹去已确认经济净额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</w:rPr>
        <w:t>四、交付内容</w:t>
      </w:r>
    </w:p>
    <w:p>
      <w:r>
        <w:rPr>
          <w:rFonts w:ascii="Times New Roman" w:hAnsi="Times New Roman" w:eastAsia="宋体" w:cs="Times New Roman"/>
        </w:rPr>
        <w:t>交付 /tmp_workspace/results/协销分析.xlsx，保留可复算明细、汇总、图表、来源与缺口、分析和核对记录。原始材料不改。下列表名和核心列名用于跨部门汇接；可以调整行列和sheet顺序、增加辅助列，但保留所列核心名称。数值可以为已计算数值或具有可读取结果的公式，金额与数量不得用文本零代替未知。</w:t>
      </w:r>
    </w:p>
    <w:p>
      <w:r>
        <w:rPr>
          <w:rFonts w:ascii="Times New Roman" w:hAnsi="Times New Roman" w:eastAsia="宋体" w:cs="Times New Roman"/>
        </w:rPr>
        <w:t>订单净额：订单行ID、客户ID、生效日期、月份、地区、渠道、商品类别、订单状态、归属部门、归属记录ID、分摊状态、采用版本、折后额元、退款额元、净额元、净销量件、金额语义、订单来源ID、归属来源ID、退款来源ID、方案来源ID。所有范围内订单逐单一行，取消也保留。分摊状态用已分配、待确认-无生效方案、待确认-比例不闭合、不适用；金额语义用确认有额、确认零额、不适用。未知归属ID/来源留空，取消采用版本留空。</w:t>
      </w:r>
    </w:p>
    <w:p>
      <w:r>
        <w:rPr>
          <w:rFonts w:ascii="Times New Roman" w:hAnsi="Times New Roman" w:eastAsia="宋体" w:cs="Times New Roman"/>
        </w:rPr>
        <w:t>退款核对：退款ID、订单行ID、客户ID、原单月份、原单地区、采用状态（纳入或不适用）、金额元、退货件数、来源ID。所有退款逐笔保留，不适用的指标记0。协销贡献：订单行ID、部门、月份、地区、方案版本、分摊比例、折后额元、退款额元、净额元、净销量件、方案来源ID；每个已生效订单按采用部门逐行，缺方案整单一行未分配池，其版本/比例/方案来源留空。</w:t>
      </w:r>
    </w:p>
    <w:p>
      <w:r>
        <w:rPr>
          <w:rFonts w:ascii="Times New Roman" w:hAnsi="Times New Roman" w:eastAsia="宋体" w:cs="Times New Roman"/>
        </w:rPr>
        <w:t>月度汇总：月份、地区、部门、折后额元、退款额元、净额元、净销量件。按月份×三地区×集团/三个部门/未分配池输出，零值组也保留。渠道结构：月份、地区、渠道、净额元、净销量件、净额占比，三种已知渠道和未知渠道全部保留，占比以同月同地区集团净额为分母，分母0时留空并说明不适用。</w:t>
      </w:r>
    </w:p>
    <w:p>
      <w:r>
        <w:rPr>
          <w:rFonts w:ascii="Times New Roman" w:hAnsi="Times New Roman" w:eastAsia="宋体" w:cs="Times New Roman"/>
        </w:rPr>
        <w:t>客户迁移：客户ID、地区、首月归属、次月归属、迁移状态（已迁移、未迁移、待确认）、首月净额元、次月净额元、净额变化元、首月归属来源ID、次月归属来源ID。覆盖客户维度中所有客户，变化=次月−首月，客户净额由原单汇总，不因迁移重复计入。</w:t>
      </w:r>
    </w:p>
    <w:p>
      <w:r>
        <w:rPr>
          <w:rFonts w:ascii="Times New Roman" w:hAnsi="Times New Roman" w:eastAsia="宋体" w:cs="Times New Roman"/>
        </w:rPr>
        <w:t>缺口清单：事项ID、类型、对象ID、影响字段、已确认净额元、说明。仅对已生效订单列渠道缺失、客户归属缺口、分摊缺口三类可并存事项；事项ID为“类型:订单行ID”。影响字段分别为“渠道结构”“客户归属与迁移”“部门贡献”，说明补件与可确认边界。实际读取失败应另行清楚说明影响文件、sheet及未确认范围，不能假定为空。</w:t>
      </w:r>
    </w:p>
    <w:p>
      <w:r>
        <w:rPr>
          <w:rFonts w:ascii="Times New Roman" w:hAnsi="Times New Roman" w:eastAsia="宋体" w:cs="Times New Roman"/>
        </w:rPr>
        <w:t>来源索引：来源ID、文件、工作表、行号、记录类型、记录ID、区块。覆盖所有公开业务明细，包括未采用旧版/草稿/取消/待审批记录，记录类型取订单、退款、分摊、客户归属。来源ID统一写“记录类型:文件:工作表:行号”，区块用该行A列到最后业务列，如A4:M4。引用多个来源时用半角分号分隔，顺序不限；单元格或行号直接定位可另作补充。订单的退款来源列保留所有关联退款，方案来源列仅保留已生效订单的采用版本行。归属来源列为订单日唯一生效记录。</w:t>
      </w:r>
    </w:p>
    <w:p>
      <w:r>
        <w:rPr>
          <w:rFonts w:ascii="Times New Roman" w:hAnsi="Times New Roman" w:eastAsia="宋体" w:cs="Times New Roman"/>
        </w:rPr>
        <w:t>范围核对：文件、工作表、业务类型、明细行数、隐藏明细行数、非明细行数；按上述范围逐sheet记录，计数由本次实际读取产生。各汇总能通过月份、地区、部门/渠道及客户ID回查明细和来源。</w:t>
      </w:r>
    </w:p>
    <w:p>
      <w:r>
        <w:rPr>
          <w:rFonts w:ascii="Times New Roman" w:hAnsi="Times New Roman" w:eastAsia="宋体" w:cs="Times New Roman"/>
        </w:rPr>
        <w:t>至少两张可读图表：部门贡献及未分配池的月度比较、渠道净额或占比的月度比较。分析说明写清规模变化、地区与渠道结构、协销贡献和客户迁移，引用数据，解释缺口会限制什么。不得把归属迁移与增长的相关性直接写成已证实原因。验收记录保留实际核对对象、方法、结果及可回查位置；覆盖跨sheet及隐藏行、ID/有效期关联、净额和分摊守恒、图表与结论依据。允许Excel、程序或有据人工核对，不要求另交脚本或执行日志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宋体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