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Times New Roman" w:hAnsi="Times New Roman" w:cs="Times New Roman"/>
        </w:rPr>
        <w:t>企业获客长周期转化与成熟队列比较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一、范围、版本与字段</w:t>
      </w:r>
    </w:p>
    <w:p>
      <w:r>
        <w:rPr>
          <w:rFonts w:eastAsia="宋体" w:ascii="Times New Roman" w:hAnsi="Times New Roman" w:cs="Times New Roman"/>
        </w:rPr>
        <w:t>范围为2026年8月1日至9月30日对象，两个活动“秋季上新、会员专场”；截止2026年10月1日00:00，北京时间。所有工作表、甲乙批和隐藏补录均在范围内。旧汇总为V1，当前完整材料为V2；按类别+记录编号选择最高版本整行替换，禁止把新旧版本相加。</w:t>
      </w:r>
    </w:p>
    <w:p>
      <w:r>
        <w:rPr>
          <w:rFonts w:eastAsia="宋体" w:ascii="Times New Roman" w:hAnsi="Times New Roman" w:cs="Times New Roman"/>
        </w:rPr>
        <w:t>最新营销明细.xlsx按对象、触点、订单、退款、费用、分母、渠道（门店题另有分摊）分sheet。每sheet含两个区块，表头位置不固定；合并行是渠道范围标签，重复标题、说明、小计不是业务记录。金额逐行标元或分，分除以100转元；费用含服务费，费用金额×(1+服务费率)。</w:t>
      </w:r>
    </w:p>
    <w:p>
      <w:r>
        <w:rPr>
          <w:rFonts w:eastAsia="宋体" w:ascii="Times New Roman" w:hAnsi="Times New Roman" w:cs="Times New Roman"/>
        </w:rPr>
        <w:t>对象编号由对象记录编号提供，订单按对象编号连接，退款按订单编号连接，触点按客户编号及活动连接；名称不能替代编号。渠道优先级越小越优先。缺客户编号不猜测；无合格触点为未知归因。直接访问是已知渠道，不能混为未知。空分母代表未提供，不等于零；已知零分母的比率为不适用。</w:t>
      </w:r>
    </w:p>
    <w:p>
      <w:r>
        <w:rPr>
          <w:rFonts w:eastAsia="宋体" w:ascii="Times New Roman" w:hAnsi="Times New Roman" w:cs="Times New Roman"/>
        </w:rPr>
        <w:t>外部分母是渠道平台确认的付费落地页有效访问次数，汇总范围与本期活动一致。直接访问在该系统内为确认零，不代表自然访问不存在，不用于付费转化率比较；其净额与归因对象仍需独立呈现。所有名称及记录为本题模拟业务数据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归因与分析口径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二、归因及计算口径</w:t>
      </w:r>
    </w:p>
    <w:p>
      <w:r>
        <w:rPr>
          <w:rFonts w:eastAsia="宋体" w:ascii="Times New Roman" w:hAnsi="Times New Roman" w:cs="Times New Roman"/>
        </w:rPr>
        <w:t>企业获客：对象代表唯一线索，触点是留资前活动接触。以留资时间为时点，选此前14×24小时（两端含）最早非直接访问触点；没有才选直接访问。同刻按渠道优先级、触点编号字典升序。留资后30×24小时内（两端含）且截止前已支付订单视为成交，多个订单仍只算一条成交线索。截止时已满30天为成熟线索；观察不足线索的转化数为未知，不能把当前未成交当作失败。</w:t>
      </w:r>
    </w:p>
    <w:p>
      <w:r>
        <w:rPr>
          <w:rFonts w:eastAsia="宋体" w:ascii="Times New Roman" w:hAnsi="Times New Roman" w:cs="Times New Roman"/>
        </w:rPr>
        <w:t>成功退款且退款时间&lt;截止才扣减，待审核和截止后退款排除；退款沿被归属订单渠道扣减，保留零额与全部退款。净额=支付额−成功退款额。未知归因净额单列，不分配给任何已知渠道。支付/退款逐对象汇总后保留两位；费用逐笔保留两位。金额采用四舍五入；比率以完整金额及整数分子分母计算，输出六位小数或等值百分数。</w:t>
      </w:r>
    </w:p>
    <w:p>
      <w:r>
        <w:rPr>
          <w:rFonts w:eastAsia="宋体" w:ascii="Times New Roman" w:hAnsi="Times New Roman" w:cs="Times New Roman"/>
        </w:rPr>
        <w:t>渠道指标按活动×渠道×分层（非门店题分层为全部）覆盖三个付费渠道、直接访问、未知，包括确认零对象组。费用只归同活动渠道；没有费用记录的直接访问和未知组为确认零费用。净回报倍数=净额/费用；获客成本=全部归因对象数对应的费用/对象数。外部分母按同活动渠道分层匹配，未提供为未知；不能用触点条数代替分母。</w:t>
      </w:r>
    </w:p>
    <w:p>
      <w:r>
        <w:rPr>
          <w:rFonts w:eastAsia="宋体" w:ascii="Times New Roman" w:hAnsi="Times New Roman" w:cs="Times New Roman"/>
        </w:rPr>
        <w:t>转化率=成熟成交线索数/成熟线索数；线索获取率=全部归因线索数/外部分母。净额包含当前已观察的合格订单金额（包括尚未成熟线索），不能将该净回报称为成熟队列回报。成熟转化率与全量获客成本分开解释。</w:t>
      </w:r>
    </w:p>
    <w:p>
      <w:r>
        <w:rPr>
          <w:rFonts w:eastAsia="宋体" w:ascii="Times New Roman" w:hAnsi="Times New Roman" w:cs="Times New Roman"/>
        </w:rPr>
        <w:t>成熟对象数：电商全部对象为成熟；企业仅满30天对象成熟。比较必须说明未知归因、分母缺失以及观察期限制。</w:t>
      </w:r>
    </w:p>
    <w:p>
      <w:r>
        <w:rPr>
          <w:rFonts w:eastAsia="宋体" w:ascii="Times New Roman" w:hAnsi="Times New Roman" w:cs="Times New Roman"/>
        </w:rPr>
        <w:t>归因明细中支付额和退款额来自合格订单，净额含未知归因；订单编号集合与退款编号集合以|分隔，空集合为无；未选择触点时触点编号和触点来源记不适用。来源定位采用文件名/sheet/A行号，对应原始记录起始单元格。来源索引覆盖全部原始有效记录行（包括被替换版本），状态为最新有效或历史版本。</w:t>
      </w:r>
    </w:p>
    <w:p>
      <w:r>
        <w:rPr>
          <w:rFonts w:eastAsia="宋体" w:ascii="Times New Roman" w:hAnsi="Times New Roman" w:cs="Times New Roman"/>
        </w:rPr>
        <w:br w:type="page"/>
      </w:r>
    </w:p>
    <w:p>
      <w:pPr>
        <w:pStyle w:val="Title"/>
      </w:pPr>
      <w:r>
        <w:rPr>
          <w:rFonts w:eastAsia="宋体" w:ascii="Times New Roman" w:hAnsi="Times New Roman" w:cs="Times New Roman"/>
        </w:rPr>
        <w:t>归因与分析口径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三、交付与分析</w:t>
      </w:r>
    </w:p>
    <w:p>
      <w:r>
        <w:rPr>
          <w:rFonts w:eastAsia="宋体" w:ascii="Times New Roman" w:hAnsi="Times New Roman" w:cs="Times New Roman"/>
        </w:rPr>
        <w:t>交付 results/营销分析.xlsx 和 results/分析与验收.md。工作簿采用下列中文表名和字段作为下游接口，允许重排列、行和添加辅助表；不限定计算软件、公式或脚本。各表应包含全量对象，数值可复算，图表须标清指标与不可比范围。</w:t>
      </w:r>
    </w:p>
    <w:p>
      <w:r>
        <w:rPr>
          <w:rFonts w:eastAsia="宋体" w:ascii="Times New Roman" w:hAnsi="Times New Roman" w:cs="Times New Roman"/>
        </w:rPr>
        <w:t>归因明细：对象编号、活动、渠道、分层、归因状态、触点编号、成熟状态、转化数、支付额、退款额、净额、对象来源、触点来源、订单编号集合、退款编号集合。</w:t>
      </w:r>
    </w:p>
    <w:p>
      <w:r>
        <w:rPr>
          <w:rFonts w:eastAsia="宋体" w:ascii="Times New Roman" w:hAnsi="Times New Roman" w:cs="Times New Roman"/>
        </w:rPr>
        <w:t>渠道指标：活动、渠道、分层、对象数、成熟对象数、观察不足数、转化数、费用、净额、外部分母、转化率、获客成本、净回报倍数、线索获取率。</w:t>
      </w:r>
    </w:p>
    <w:p>
      <w:r>
        <w:rPr>
          <w:rFonts w:eastAsia="宋体" w:ascii="Times New Roman" w:hAnsi="Times New Roman" w:cs="Times New Roman"/>
        </w:rPr>
        <w:t>费用分摊：费用编号、活动、渠道、分层、费用、费用来源、权重来源。</w:t>
      </w:r>
    </w:p>
    <w:p>
      <w:r>
        <w:rPr>
          <w:rFonts w:eastAsia="宋体" w:ascii="Times New Roman" w:hAnsi="Times New Roman" w:cs="Times New Roman"/>
        </w:rPr>
        <w:t>来源索引：来源定位、类别、记录编号、版本、采用状态。</w:t>
      </w:r>
    </w:p>
    <w:p>
      <w:r>
        <w:rPr>
          <w:rFonts w:eastAsia="宋体" w:ascii="Times New Roman" w:hAnsi="Times New Roman" w:cs="Times New Roman"/>
        </w:rPr>
        <w:t>版本校核：活动、渠道、分层、旧净额、最新净额、净额变化、旧费用、最新费用、费用变化。</w:t>
      </w:r>
    </w:p>
    <w:p>
      <w:r>
        <w:rPr>
          <w:rFonts w:eastAsia="宋体" w:ascii="Times New Roman" w:hAnsi="Times New Roman" w:cs="Times New Roman"/>
        </w:rPr>
        <w:t>版本校核说明V1到V2的净额和费用变化及受影响依赖；分析说明至少比较两个渠道的成本、转化与回报，引用活动/渠道指标和源记录，说明缺口、不可比范围、归因方法及建议，不能宣称因果增量。</w:t>
      </w:r>
    </w:p>
    <w:p>
      <w:r>
        <w:rPr>
          <w:rFonts w:eastAsia="宋体" w:ascii="Times New Roman" w:hAnsi="Times New Roman" w:cs="Times New Roman"/>
        </w:rPr>
        <w:t>验收记录写明实际检查的来源sheet及隐藏补录、最新版本、关联键、金额与分母、图表和结论，并提供检查对象、方法、结果及差异处置。未完成读取须注明文件、sheet和受影响指标；自报通过不能代替实际执行证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