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星桥客服平台升级项目研发阶段材料</w:t>
      </w:r>
    </w:p>
    <w:p>
      <w:r>
        <w:t>研发部提交给项目办公室  |  版本 v1.0  |  截至 2026-09-15</w:t>
      </w:r>
    </w:p>
    <w:p>
      <w:pPr>
        <w:pStyle w:val="Heading1"/>
      </w:pPr>
      <w:r>
        <w:t>一 部门阶段目标</w:t>
      </w:r>
    </w:p>
    <w:p>
      <w:r>
        <w:t>研发部本阶段负责八项工作。项目以试点运行验证为目标，当前工作不构成全网推广批准。具体进度以工作簿和各任务说明联合判断，完成记录数量不替代任务状态。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752"/>
        <w:gridCol w:w="2736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475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任务名称</w:t>
            </w:r>
          </w:p>
        </w:tc>
        <w:tc>
          <w:tcPr>
            <w:tcW w:type="dxa" w:w="273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负责人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研发负责人06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研发负责人08</w:t>
            </w:r>
          </w:p>
        </w:tc>
      </w:tr>
    </w:tbl>
    <w:p>
      <w:pPr>
        <w:pStyle w:val="Heading2"/>
      </w:pPr>
      <w:r>
        <w:t>本材料的阅读口径</w:t>
      </w:r>
    </w:p>
    <w:p>
      <w:r>
        <w:t>二级标题按任务 ID 定位；第三节为逐项作业履历，末尾附录保留已批准安排。脚注中的前置条件应随相应安排进入报告。所有例子与记录均为本次项目材料的一部分。</w:t>
      </w:r>
    </w:p>
    <w:p>
      <w:r>
        <w:br w:type="page"/>
      </w:r>
    </w:p>
    <w:p>
      <w:pPr>
        <w:pStyle w:val="Heading1"/>
      </w:pPr>
      <w:r>
        <w:t>二 资料版本与阶段边界</w:t>
      </w:r>
    </w:p>
    <w:p>
      <w:r>
        <w:t>现行版本 v1.0 于 2026-09-15 固定。工作簿 v0.9 对照区为 2026-09-12 历史快照，只用于说明口径变化；不得替代现行台账或补录数据。</w:t>
      </w:r>
    </w:p>
    <w:p>
      <w:r>
        <w:t>作业记录表示一次处理或核对动作，同一任务可能有多个样本。问题记录的主键为问题 ID，任务归属以任务 ID 为准；名称相同的其他项目记录不得合并。</w:t>
      </w:r>
    </w:p>
    <w:p>
      <w:r>
        <w:drawing>
          <wp:inline xmlns:a="http://schemas.openxmlformats.org/drawingml/2006/main" xmlns:pic="http://schemas.openxmlformats.org/drawingml/2006/picture">
            <wp:extent cx="5715000" cy="261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三部门记录完成比例示意  汇总口径为工作簿明细加补录</w:t>
      </w:r>
    </w:p>
    <w:p>
      <w:r>
        <w:t>该比例只表示已记录作业的完成量。即使比例较高，也不能推断缺失的正式状态。部门间记录量不同，项目总比例必须按计划量加权。</w:t>
      </w:r>
    </w:p>
    <w:p>
      <w:r>
        <w:br w:type="page"/>
      </w:r>
    </w:p>
    <w:p>
      <w:pPr>
        <w:pStyle w:val="Heading2"/>
      </w:pPr>
      <w:r>
        <w:t>2.1 XQ-001 统一身份接入</w:t>
      </w:r>
    </w:p>
    <w:p>
      <w:r>
        <w:t>责任人：研发负责人01。阶段目标：统一账号映射，减少人工重复维护。适用范围为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已按区域组织统一身份接入的样本检查，记录分布在指标明细和隐藏补录表。验收以独立验收记录为准，工作量完成记录不与验收通过记录相互替代。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IS-001-01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研发负责人01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已确定安排：完成回归清单并由业务代表复核。责任人：研发负责人01。计划日期：2026-09-16。</w:t>
      </w:r>
      <w:r>
        <w:footnoteReference w:id="1"/>
      </w:r>
    </w:p>
    <w:p>
      <w:r>
        <w:t>跟进IS-001-01时，应保留问题编号和任务归属。原因未提供的条目只登记缺口并向责任人确认；不得将作业日志中的一般风险当作该问题的已确认原因。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2.2 XQ-002 权限矩阵</w:t>
      </w:r>
    </w:p>
    <w:p>
      <w:r>
        <w:t>责任人：研发负责人02。阶段目标：按岗位和网点验证最小权限。适用范围为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已按区域组织权限矩阵的样本检查，记录分布在指标明细和隐藏补录表。验收以独立验收记录为准，工作量完成记录不与验收通过记录相互替代。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IS-002-01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研发负责人02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已确定安排：补充边界样本后安排联合检查。责任人：研发负责人02。计划日期：2026-09-17。</w:t>
      </w:r>
      <w:r>
        <w:footnoteReference w:id="2"/>
      </w:r>
    </w:p>
    <w:p>
      <w:r>
        <w:t>跟进IS-002-01时，应保留问题编号和任务归属。原因未提供的条目只登记缺口并向责任人确认；不得将作业日志中的一般风险当作该问题的已确认原因。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2.3 XQ-003 知识库检索</w:t>
      </w:r>
    </w:p>
    <w:p>
      <w:r>
        <w:t>责任人：研发负责人03。阶段目标：提高常见问题检索命中质量。适用范围为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已按区域组织知识库检索的样本检查，记录分布在指标明细和隐藏补录表。验收以独立验收记录为准，工作量完成记录不与验收通过记录相互替代。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IS-003-01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研发负责人03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已确定安排：整理待确认字段并提交责任部门。责任人：研发负责人03。计划日期：2026-09-18。</w:t>
      </w:r>
      <w:r>
        <w:footnoteReference w:id="3"/>
      </w:r>
    </w:p>
    <w:p>
      <w:r>
        <w:t>跟进IS-003-01时，应保留问题编号和任务归属。原因未提供的条目只登记缺口并向责任人确认；不得将作业日志中的一般风险当作该问题的已确认原因。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2.4 XQ-004 工单路由</w:t>
      </w:r>
    </w:p>
    <w:p>
      <w:r>
        <w:t>责任人：研发负责人04。阶段目标：将工单按业务类别分配到对应处理组。适用范围为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已按区域组织工单路由的样本检查，记录分布在指标明细和隐藏补录表。验收以独立验收记录为准，工作量完成记录不与验收通过记录相互替代。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IS-004-01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研发负责人04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已确定安排：按既定试点名单复核配置。责任人：研发负责人04。计划日期：2026-09-19。</w:t>
      </w:r>
      <w:r>
        <w:footnoteReference w:id="4"/>
      </w:r>
    </w:p>
    <w:p>
      <w:r>
        <w:t>跟进IS-004-01时，应保留问题编号和任务归属。原因未提供的条目只登记缺口并向责任人确认；不得将作业日志中的一般风险当作该问题的已确认原因。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2.5 XQ-005 会话留痕</w:t>
      </w:r>
    </w:p>
    <w:p>
      <w:r>
        <w:t>责任人：研发负责人05。阶段目标：保证会话记录可追溯且保留访问控制。适用范围为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已按区域组织会话留痕的样本检查，记录分布在指标明细和隐藏补录表。验收以独立验收记录为准，工作量完成记录不与验收通过记录相互替代。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IS-005-01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研发负责人05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已确定安排：保留原链路并完成切换前复查。责任人：研发负责人05。计划日期：2026-09-20。</w:t>
      </w:r>
      <w:r>
        <w:footnoteReference w:id="5"/>
      </w:r>
    </w:p>
    <w:p>
      <w:r>
        <w:t>跟进IS-005-01时，应保留问题编号和任务归属。原因未提供的条目只登记缺口并向责任人确认；不得将作业日志中的一般风险当作该问题的已确认原因。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2.6 XQ-006 质检规则</w:t>
      </w:r>
    </w:p>
    <w:p>
      <w:r>
        <w:t>责任人：研发负责人06。阶段目标：对抽检规则进行分层校准。适用范围为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已按区域组织质检规则的样本检查，记录分布在指标明细和隐藏补录表。验收以独立验收记录为准，工作量完成记录不与验收通过记录相互替代。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IS-006-01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研发负责人06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已确定安排：汇总异常记录后召开问题确认会。责任人：研发负责人06。计划日期：2026-09-21。</w:t>
      </w:r>
      <w:r>
        <w:footnoteReference w:id="6"/>
      </w:r>
    </w:p>
    <w:p>
      <w:r>
        <w:t>跟进IS-006-01时，应保留问题编号和任务归属。原因未提供的条目只登记缺口并向责任人确认；不得将作业日志中的一般风险当作该问题的已确认原因。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2.7 XQ-007 接口重试</w:t>
      </w:r>
    </w:p>
    <w:p>
      <w:r>
        <w:t>责任人：研发负责人07。阶段目标：确保失败接口可重试且不重复写入。适用范围为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已按区域组织接口重试的样本检查，记录分布在指标明细和隐藏补录表。验收以独立验收记录为准，工作量完成记录不与验收通过记录相互替代。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IS-007-01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研发负责人07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已确定安排：完成回归清单并由业务代表复核。责任人：研发负责人07。计划日期：2026-09-22。</w:t>
      </w:r>
      <w:r>
        <w:footnoteReference w:id="7"/>
      </w:r>
    </w:p>
    <w:p>
      <w:r>
        <w:t>跟进IS-007-01时，应保留问题编号和任务归属。原因未提供的条目只登记缺口并向责任人确认；不得将作业日志中的一般风险当作该问题的已确认原因。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2"/>
      </w:pPr>
      <w:r>
        <w:t>2.8 XQ-008 监控告警</w:t>
      </w:r>
    </w:p>
    <w:p>
      <w:r>
        <w:t>责任人：研发负责人08。阶段目标：建立关键链路异常通知和升级规则。适用范围为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已按区域组织监控告警的样本检查，记录分布在指标明细和隐藏补录表。验收以独立验收记录为准，工作量完成记录不与验收通过记录相互替代。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IS-008-01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研发负责人08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已确定安排：补充边界样本后安排联合检查。责任人：研发负责人08。计划日期：2026-09-16。</w:t>
      </w:r>
      <w:r>
        <w:footnoteReference w:id="8"/>
      </w:r>
    </w:p>
    <w:p>
      <w:r>
        <w:t>跟进IS-008-01时，应保留问题编号和任务归属。原因未提供的条目只登记缺口并向责任人确认；不得将作业日志中的一般风险当作该问题的已确认原因。</w:t>
      </w:r>
    </w:p>
    <w:p>
      <w:r>
        <w:t>本项的详细采样顺序、区域核对与移交记录见第三节。采用该说明编制报告时，应将已确定安排、前置条件和缺口分别表述，避免将计划日期写成已完成日期。</w:t>
      </w:r>
    </w:p>
    <w:p>
      <w:r>
        <w:br w:type="page"/>
      </w:r>
    </w:p>
    <w:p>
      <w:pPr>
        <w:pStyle w:val="Heading1"/>
      </w:pPr>
      <w:r>
        <w:t>三 跨区域作业履历</w:t>
      </w:r>
    </w:p>
    <w:p>
      <w:r>
        <w:t>本表连续记录 96 次不同的作业动作，跨页保留表头。履历不替代工作簿的统计记录，不能重复计入指标或问题数量。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296"/>
        <w:gridCol w:w="864"/>
        <w:gridCol w:w="864"/>
        <w:gridCol w:w="4824"/>
      </w:tblGrid>
      <w:tr>
        <w:trPr>
          <w:tblHeader/>
        </w:trPr>
        <w:tc>
          <w:tcPr>
            <w:tcW w:type="dxa" w:w="136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履历 ID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日期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type="dxa" w:w="482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操作及样本批次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统一身份接入：采样登记；批次 0101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权限矩阵：采样登记；批次 0102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知识库检索：采样登记；批次 0103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工单路由：采样登记；批次 0104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会话留痕：采样登记；批次 0105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质检规则：采样登记；批次 0106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接口重试：采样登记；批次 0107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监控告警：采样登记；批次 0108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统一身份接入：核对配置；批次 0201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权限矩阵：核对配置；批次 0202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知识库检索：核对配置；批次 0203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工单路由：核对配置；批次 0204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会话留痕：核对配置；批次 0205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质检规则：核对配置；批次 0206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接口重试：核对配置；批次 0207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监控告警：核对配置；批次 0208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统一身份接入：复查结果；批次 0301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权限矩阵：复查结果；批次 0302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知识库检索：复查结果；批次 0303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工单路由：复查结果；批次 0304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会话留痕：复查结果；批次 0305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质检规则：复查结果；批次 0306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接口重试：复查结果；批次 0307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研-03-08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监控告警：复查结果；批次 0308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统一身份接入：移交待办；批次 0401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权限矩阵：移交待办；批次 0402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知识库检索：移交待办；批次 0403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工单路由：移交待办；批次 0404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会话留痕：移交待办；批次 0405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质检规则：移交待办；批次 0406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接口重试：移交待办；批次 0407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研-04-08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监控告警：移交待办；批次 0408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统一身份接入：采样登记；批次 0501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权限矩阵：采样登记；批次 0502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知识库检索：采样登记；批次 0503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工单路由：采样登记；批次 0504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会话留痕：采样登记；批次 0505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质检规则：采样登记；批次 0506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接口重试：采样登记；批次 0507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研-05-08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监控告警：采样登记；批次 0508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统一身份接入：核对配置；批次 0601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权限矩阵：核对配置；批次 0602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知识库检索：核对配置；批次 0603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工单路由：核对配置；批次 0604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会话留痕：核对配置；批次 0605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质检规则：核对配置；批次 0606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接口重试：核对配置；批次 0607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研-06-08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监控告警：核对配置；批次 0608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统一身份接入：复查结果；批次 0701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权限矩阵：复查结果；批次 0702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知识库检索：复查结果；批次 0703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工单路由：复查结果；批次 0704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会话留痕：复查结果；批次 0705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质检规则：复查结果；批次 0706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接口重试：复查结果；批次 0707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研-07-08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监控告警：复查结果；批次 0708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统一身份接入：移交待办；批次 0801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权限矩阵：移交待办；批次 0802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知识库检索：移交待办；批次 0803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工单路由：移交待办；批次 0804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会话留痕：移交待办；批次 0805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质检规则：移交待办；批次 0806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接口重试：移交待办；批次 0807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研-08-08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监控告警：移交待办；批次 0808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统一身份接入：采样登记；批次 0901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权限矩阵：采样登记；批次 0902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知识库检索：采样登记；批次 0903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工单路由：采样登记；批次 0904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会话留痕：采样登记；批次 0905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质检规则：采样登记；批次 0906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接口重试：采样登记；批次 0907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研-09-08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监控告警：采样登记；批次 0908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统一身份接入：核对配置；批次 1001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权限矩阵：核对配置；批次 1002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知识库检索：核对配置；批次 1003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工单路由：核对配置；批次 1004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会话留痕：核对配置；批次 1005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质检规则：核对配置；批次 1006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接口重试：核对配置；批次 1007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研-10-08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监控告警：核对配置；批次 1008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统一身份接入：复查结果；批次 1101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权限矩阵：复查结果；批次 1102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知识库检索：复查结果；批次 1103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工单路由：复查结果；批次 1104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会话留痕：复查结果；批次 1105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质检规则：复查结果；批次 1106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接口重试：复查结果；批次 1107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监控告警：复查结果；批次 1108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统一身份接入：移交待办；批次 1201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权限矩阵：移交待办；批次 1202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知识库检索：移交待办；批次 1203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工单路由：移交待办；批次 1204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会话留痕：移交待办；批次 1205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质检规则：移交待办；批次 1206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接口重试：移交待办；批次 1207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研-12-08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监控告警：移交待办；批次 1208</w:t>
            </w:r>
          </w:p>
        </w:tc>
      </w:tr>
    </w:tbl>
    <w:p>
      <w:r>
        <w:br w:type="page"/>
      </w:r>
    </w:p>
    <w:p>
      <w:pPr>
        <w:pStyle w:val="Heading1"/>
      </w:pPr>
      <w:r>
        <w:t>附录 A 已确定安排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832"/>
        <w:gridCol w:w="1800"/>
      </w:tblGrid>
      <w:tr>
        <w:trPr>
          <w:tblHeader/>
        </w:trPr>
        <w:tc>
          <w:tcPr>
            <w:tcW w:type="dxa" w:w="158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583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安排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计划日期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XQ-001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</w:tbl>
    <w:p>
      <w:r>
        <w:t>以上日期为已确认的下一步计划时间。若依赖条件尚未满足，应同时呈现条件，不得据此宣称执行完成或重新承诺日期。</w:t>
      </w:r>
    </w:p>
    <w:p>
      <w:r>
        <w:br w:type="page"/>
      </w:r>
    </w:p>
    <w:p>
      <w:pPr>
        <w:pStyle w:val="Heading1"/>
      </w:pPr>
      <w:r>
        <w:t>附录 B 交接口径和归档位置</w:t>
      </w:r>
    </w:p>
    <w:p>
      <w:r>
        <w:t>研发部交接以任务 ID、问题 ID、区域、批次和原始日期五项共同定位。引用正文时可用标题编号；引用履历时应同时给出履历 ID。引用脚注时应写明对应任务。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600"/>
        <w:gridCol w:w="3888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资料</w:t>
            </w:r>
          </w:p>
        </w:tc>
        <w:tc>
          <w:tcPr>
            <w:tcW w:type="dxa" w:w="36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定位方式</w:t>
            </w:r>
          </w:p>
        </w:tc>
        <w:tc>
          <w:tcPr>
            <w:tcW w:type="dxa" w:w="388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正文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2.x + 任务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目标与状态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脚注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任务 ID + 脚注号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计划前置条件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跨页表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履历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作业背景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附录 A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任务 ID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已确定安排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工作簿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sheet + 记录 ID / 单元格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指标与问题统计</w:t>
            </w:r>
          </w:p>
        </w:tc>
      </w:tr>
    </w:tbl>
    <w:p>
      <w:r>
        <w:t>如发现内容与现行工作簿冲突，指标和问题数量按工作簿复算，目标与已批准安排按本材料。阶段汇报备注对适用范围作进一步限定。现行材料未给出的事实保持未知。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XQ-001 业务复核完成后方可扩大统一身份接入范围。</w:t>
      </w:r>
    </w:p>
  </w:footnote>
  <w:footnote w:id="2">
    <w:p>
      <w:r>
        <w:footnoteRef/>
      </w:r>
      <w:r>
        <w:t> XQ-002 业务复核完成后方可扩大权限矩阵范围。</w:t>
      </w:r>
    </w:p>
  </w:footnote>
  <w:footnote w:id="3">
    <w:p>
      <w:r>
        <w:footnoteRef/>
      </w:r>
      <w:r>
        <w:t> XQ-003 业务复核完成后方可扩大知识库检索范围。</w:t>
      </w:r>
    </w:p>
  </w:footnote>
  <w:footnote w:id="4">
    <w:p>
      <w:r>
        <w:footnoteRef/>
      </w:r>
      <w:r>
        <w:t> XQ-004 业务复核完成后方可扩大工单路由范围。</w:t>
      </w:r>
    </w:p>
  </w:footnote>
  <w:footnote w:id="5">
    <w:p>
      <w:r>
        <w:footnoteRef/>
      </w:r>
      <w:r>
        <w:t> XQ-005 业务复核完成后方可扩大会话留痕范围。</w:t>
      </w:r>
    </w:p>
  </w:footnote>
  <w:footnote w:id="6">
    <w:p>
      <w:r>
        <w:footnoteRef/>
      </w:r>
      <w:r>
        <w:t> XQ-006 业务复核完成后方可扩大质检规则范围。</w:t>
      </w:r>
    </w:p>
  </w:footnote>
  <w:footnote w:id="7">
    <w:p>
      <w:r>
        <w:footnoteRef/>
      </w:r>
      <w:r>
        <w:t> XQ-007 业务复核完成后方可扩大接口重试范围。</w:t>
      </w:r>
    </w:p>
  </w:footnote>
  <w:footnote w:id="8">
    <w:p>
      <w:r>
        <w:footnoteRef/>
      </w:r>
      <w:r>
        <w:t> XQ-008 业务复核完成后方可扩大监控告警范围。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