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星桥客服平台升级项目实施阶段材料</w:t>
      </w:r>
    </w:p>
    <w:p>
      <w:r>
        <w:t>实施部提交给项目办公室  |  版本 v1.0  |  截至 2026-09-15</w:t>
      </w:r>
    </w:p>
    <w:p>
      <w:pPr>
        <w:pStyle w:val="Heading1"/>
      </w:pPr>
      <w:r>
        <w:t>一 部门阶段目标</w:t>
      </w:r>
    </w:p>
    <w:p>
      <w:r>
        <w:t>实施部本阶段负责八项工作。项目以试点运行验证为目标，当前工作不构成全网推广批准。具体进度以工作簿和各任务说明联合判断，完成记录数量不替代任务状态。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2736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475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27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负责人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实施负责人06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实施负责人08</w:t>
            </w:r>
          </w:p>
        </w:tc>
      </w:tr>
    </w:tbl>
    <w:p>
      <w:pPr>
        <w:pStyle w:val="Heading2"/>
      </w:pPr>
      <w:r>
        <w:t>本材料的阅读口径</w:t>
      </w:r>
    </w:p>
    <w:p>
      <w:r>
        <w:t>二级标题按任务 ID 定位；第三节为逐项作业履历，末尾附录保留已批准安排。脚注中的前置条件应随相应安排进入报告。所有例子与记录均为本次项目材料的一部分。</w:t>
      </w:r>
    </w:p>
    <w:p>
      <w:r>
        <w:br w:type="page"/>
      </w:r>
    </w:p>
    <w:p>
      <w:pPr>
        <w:pStyle w:val="Heading1"/>
      </w:pPr>
      <w:r>
        <w:t>二 资料版本与阶段边界</w:t>
      </w:r>
    </w:p>
    <w:p>
      <w:r>
        <w:t>现行版本 v1.0 于 2026-09-15 固定。工作簿 v0.9 对照区为 2026-09-12 历史快照，只用于说明口径变化；不得替代现行台账或补录数据。</w:t>
      </w:r>
    </w:p>
    <w:p>
      <w:r>
        <w:t>作业记录表示一次处理或核对动作，同一任务可能有多个样本。问题记录的主键为问题 ID，任务归属以任务 ID 为准；名称相同的其他项目记录不得合并。</w:t>
      </w:r>
    </w:p>
    <w:p>
      <w:r>
        <w:drawing>
          <wp:inline xmlns:a="http://schemas.openxmlformats.org/drawingml/2006/main" xmlns:pic="http://schemas.openxmlformats.org/drawingml/2006/picture">
            <wp:extent cx="5715000" cy="261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三部门记录完成比例示意  汇总口径为工作簿明细加补录</w:t>
      </w:r>
    </w:p>
    <w:p>
      <w:r>
        <w:t>该比例只表示已记录作业的完成量。即使比例较高，也不能推断缺失的正式状态。部门间记录量不同，项目总比例必须按计划量加权。</w:t>
      </w:r>
    </w:p>
    <w:p>
      <w:r>
        <w:br w:type="page"/>
      </w:r>
    </w:p>
    <w:p>
      <w:pPr>
        <w:pStyle w:val="Heading2"/>
      </w:pPr>
      <w:r>
        <w:t>2.9 XQ-009 数据迁移</w:t>
      </w:r>
    </w:p>
    <w:p>
      <w:r>
        <w:t>责任人：实施负责人01。阶段目标：将存量记录迁移到新字段结构。适用范围为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已按区域组织数据迁移的样本检查，记录分布在指标明细和隐藏补录表。验收以独立验收记录为准，工作量完成记录不与验收通过记录相互替代。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IS-009-01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实施负责人01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已确定安排：整理待确认字段并提交责任部门。责任人：实施负责人01。计划日期：2026-09-17。</w:t>
      </w:r>
      <w:r>
        <w:footnoteReference w:id="1"/>
      </w:r>
    </w:p>
    <w:p>
      <w:r>
        <w:t>跟进IS-009-01时，应保留问题编号和任务归属。原因未提供的条目只登记缺口并向责任人确认；不得将作业日志中的一般风险当作该问题的已确认原因。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2.10 XQ-010 网点接入</w:t>
      </w:r>
    </w:p>
    <w:p>
      <w:r>
        <w:t>责任人：实施负责人02。阶段目标：完成试点网点配置和链路核查。适用范围为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已按区域组织网点接入的样本检查，记录分布在指标明细和隐藏补录表。验收以独立验收记录为准，工作量完成记录不与验收通过记录相互替代。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IS-010-01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实施负责人02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已确定安排：按既定试点名单复核配置。责任人：实施负责人02。计划日期：2026-09-18。</w:t>
      </w:r>
      <w:r>
        <w:footnoteReference w:id="2"/>
      </w:r>
    </w:p>
    <w:p>
      <w:r>
        <w:t>跟进IS-010-01时，应保留问题编号和任务归属。原因未提供的条目只登记缺口并向责任人确认；不得将作业日志中的一般风险当作该问题的已确认原因。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2.11 XQ-011 坐席部署</w:t>
      </w:r>
    </w:p>
    <w:p>
      <w:r>
        <w:t>责任人：实施负责人03。阶段目标：为试点坐席部署兼容客户端。适用范围为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已按区域组织坐席部署的样本检查，记录分布在指标明细和隐藏补录表。验收以独立验收记录为准，工作量完成记录不与验收通过记录相互替代。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IS-011-01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实施负责人03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已确定安排：保留原链路并完成切换前复查。责任人：实施负责人03。计划日期：2026-09-19。</w:t>
      </w:r>
      <w:r>
        <w:footnoteReference w:id="3"/>
      </w:r>
    </w:p>
    <w:p>
      <w:r>
        <w:t>跟进IS-011-01时，应保留问题编号和任务归属。原因未提供的条目只登记缺口并向责任人确认；不得将作业日志中的一般风险当作该问题的已确认原因。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2.12 XQ-012 网络联调</w:t>
      </w:r>
    </w:p>
    <w:p>
      <w:r>
        <w:t>责任人：实施负责人04。阶段目标：核对跨网段访问和白名单。适用范围为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已按区域组织网络联调的样本检查，记录分布在指标明细和隐藏补录表。验收以独立验收记录为准，工作量完成记录不与验收通过记录相互替代。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IS-012-01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实施负责人04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已确定安排：汇总异常记录后召开问题确认会。责任人：实施负责人04。计划日期：2026-09-20。</w:t>
      </w:r>
      <w:r>
        <w:footnoteReference w:id="4"/>
      </w:r>
    </w:p>
    <w:p>
      <w:r>
        <w:t>跟进IS-012-01时，应保留问题编号和任务归属。原因未提供的条目只登记缺口并向责任人确认；不得将作业日志中的一般风险当作该问题的已确认原因。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2.13 XQ-013 回滚演练</w:t>
      </w:r>
    </w:p>
    <w:p>
      <w:r>
        <w:t>责任人：实施负责人05。阶段目标：验证切换失败后可恢复到原有业务路径。适用范围为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已按区域组织回滚演练的样本检查，记录分布在指标明细和隐藏补录表。验收以独立验收记录为准，工作量完成记录不与验收通过记录相互替代。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IS-013-01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实施负责人05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已确定安排：完成回归清单并由业务代表复核。责任人：实施负责人05。计划日期：2026-09-21。</w:t>
      </w:r>
      <w:r>
        <w:footnoteReference w:id="5"/>
      </w:r>
    </w:p>
    <w:p>
      <w:r>
        <w:t>跟进IS-013-01时，应保留问题编号和任务归属。原因未提供的条目只登记缺口并向责任人确认；不得将作业日志中的一般风险当作该问题的已确认原因。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2.14 XQ-014 终端适配</w:t>
      </w:r>
    </w:p>
    <w:p>
      <w:r>
        <w:t>责任人：实施负责人06。阶段目标：核对不同终端的输入与展示差异。适用范围为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已按区域组织终端适配的样本检查，记录分布在指标明细和隐藏补录表。验收以独立验收记录为准，工作量完成记录不与验收通过记录相互替代。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IS-014-01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实施负责人06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已确定安排：补充边界样本后安排联合检查。责任人：实施负责人06。计划日期：2026-09-22。</w:t>
      </w:r>
      <w:r>
        <w:footnoteReference w:id="6"/>
      </w:r>
    </w:p>
    <w:p>
      <w:r>
        <w:t>跟进IS-014-01时，应保留问题编号和任务归属。原因未提供的条目只登记缺口并向责任人确认；不得将作业日志中的一般风险当作该问题的已确认原因。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2.15 XQ-015 权限复核</w:t>
      </w:r>
    </w:p>
    <w:p>
      <w:r>
        <w:t>责任人：实施负责人07。阶段目标：复核现场账号权限和责任人。适用范围为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已按区域组织权限复核的样本检查，记录分布在指标明细和隐藏补录表。验收以独立验收记录为准，工作量完成记录不与验收通过记录相互替代。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IS-015-01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实施负责人07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已确定安排：整理待确认字段并提交责任部门。责任人：实施负责人07。计划日期：2026-09-16。</w:t>
      </w:r>
      <w:r>
        <w:footnoteReference w:id="7"/>
      </w:r>
    </w:p>
    <w:p>
      <w:r>
        <w:t>跟进IS-015-01时，应保留问题编号和任务归属。原因未提供的条目只登记缺口并向责任人确认；不得将作业日志中的一般风险当作该问题的已确认原因。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2.16 XQ-016 试点切换</w:t>
      </w:r>
    </w:p>
    <w:p>
      <w:r>
        <w:t>责任人：实施负责人08。阶段目标：按批准窗口执行试点切换。适用范围为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已按区域组织试点切换的样本检查，记录分布在指标明细和隐藏补录表。验收以独立验收记录为准，工作量完成记录不与验收通过记录相互替代。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IS-016-01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实施负责人08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已确定安排：按既定试点名单复核配置。责任人：实施负责人08。计划日期：2026-09-17。</w:t>
      </w:r>
      <w:r>
        <w:footnoteReference w:id="8"/>
      </w:r>
    </w:p>
    <w:p>
      <w:r>
        <w:t>跟进IS-016-01时，应保留问题编号和任务归属。原因未提供的条目只登记缺口并向责任人确认；不得将作业日志中的一般风险当作该问题的已确认原因。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1"/>
      </w:pPr>
      <w:r>
        <w:t>三 跨区域作业履历</w:t>
      </w:r>
    </w:p>
    <w:p>
      <w:r>
        <w:t>本表连续记录 96 次不同的作业动作，跨页保留表头。履历不替代工作簿的统计记录，不能重复计入指标或问题数量。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296"/>
        <w:gridCol w:w="864"/>
        <w:gridCol w:w="864"/>
        <w:gridCol w:w="4824"/>
      </w:tblGrid>
      <w:tr>
        <w:trPr>
          <w:tblHeader/>
        </w:trPr>
        <w:tc>
          <w:tcPr>
            <w:tcW w:type="dxa" w:w="136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履历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48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操作及样本批次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数据迁移：采样登记；批次 0101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网点接入：采样登记；批次 0102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坐席部署：采样登记；批次 0103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网络联调：采样登记；批次 0104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回滚演练：采样登记；批次 0105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终端适配：采样登记；批次 0106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权限复核：采样登记；批次 0107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试点切换：采样登记；批次 0108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数据迁移：核对配置；批次 0201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网点接入：核对配置；批次 0202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坐席部署：核对配置；批次 0203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网络联调：核对配置；批次 0204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回滚演练：核对配置；批次 0205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终端适配：核对配置；批次 0206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权限复核：核对配置；批次 0207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试点切换：核对配置；批次 0208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数据迁移：复查结果；批次 0301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网点接入：复查结果；批次 0302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坐席部署：复查结果；批次 0303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网络联调：复查结果；批次 0304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回滚演练：复查结果；批次 0305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终端适配：复查结果；批次 0306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权限复核：复查结果；批次 0307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试点切换：复查结果；批次 0308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数据迁移：移交待办；批次 0401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网点接入：移交待办；批次 0402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坐席部署：移交待办；批次 0403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网络联调：移交待办；批次 0404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回滚演练：移交待办；批次 0405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终端适配：移交待办；批次 0406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权限复核：移交待办；批次 0407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试点切换：移交待办；批次 0408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数据迁移：采样登记；批次 0501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网点接入：采样登记；批次 0502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坐席部署：采样登记；批次 0503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网络联调：采样登记；批次 0504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回滚演练：采样登记；批次 0505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终端适配：采样登记；批次 0506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权限复核：采样登记；批次 0507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试点切换：采样登记；批次 0508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数据迁移：核对配置；批次 0601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网点接入：核对配置；批次 0602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坐席部署：核对配置；批次 0603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网络联调：核对配置；批次 0604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回滚演练：核对配置；批次 0605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终端适配：核对配置；批次 0606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权限复核：核对配置；批次 0607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试点切换：核对配置；批次 0608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数据迁移：复查结果；批次 0701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网点接入：复查结果；批次 0702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坐席部署：复查结果；批次 0703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网络联调：复查结果；批次 0704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回滚演练：复查结果；批次 0705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终端适配：复查结果；批次 0706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权限复核：复查结果；批次 0707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试点切换：复查结果；批次 0708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数据迁移：移交待办；批次 0801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网点接入：移交待办；批次 0802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坐席部署：移交待办；批次 0803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网络联调：移交待办；批次 0804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回滚演练：移交待办；批次 0805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终端适配：移交待办；批次 0806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权限复核：移交待办；批次 0807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试点切换：移交待办；批次 0808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数据迁移：采样登记；批次 0901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网点接入：采样登记；批次 0902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坐席部署：采样登记；批次 0903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网络联调：采样登记；批次 0904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回滚演练：采样登记；批次 0905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终端适配：采样登记；批次 0906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权限复核：采样登记；批次 0907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试点切换：采样登记；批次 0908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数据迁移：核对配置；批次 1001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网点接入：核对配置；批次 1002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坐席部署：核对配置；批次 1003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网络联调：核对配置；批次 1004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回滚演练：核对配置；批次 1005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终端适配：核对配置；批次 1006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权限复核：核对配置；批次 1007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试点切换：核对配置；批次 1008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数据迁移：复查结果；批次 1101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网点接入：复查结果；批次 1102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坐席部署：复查结果；批次 1103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网络联调：复查结果；批次 1104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回滚演练：复查结果；批次 1105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终端适配：复查结果；批次 1106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权限复核：复查结果；批次 1107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试点切换：复查结果；批次 1108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数据迁移：移交待办；批次 1201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网点接入：移交待办；批次 1202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坐席部署：移交待办；批次 1203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网络联调：移交待办；批次 1204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回滚演练：移交待办；批次 1205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终端适配：移交待办；批次 1206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权限复核：移交待办；批次 1207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试点切换：移交待办；批次 1208</w:t>
            </w:r>
          </w:p>
        </w:tc>
      </w:tr>
    </w:tbl>
    <w:p>
      <w:r>
        <w:br w:type="page"/>
      </w:r>
    </w:p>
    <w:p>
      <w:pPr>
        <w:pStyle w:val="Heading1"/>
      </w:pPr>
      <w:r>
        <w:t>附录 A 已确定安排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832"/>
        <w:gridCol w:w="1800"/>
      </w:tblGrid>
      <w:tr>
        <w:trPr>
          <w:tblHeader/>
        </w:trPr>
        <w:tc>
          <w:tcPr>
            <w:tcW w:type="dxa" w:w="158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583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安排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</w:tbl>
    <w:p>
      <w:r>
        <w:t>以上日期为已确认的下一步计划时间。若依赖条件尚未满足，应同时呈现条件，不得据此宣称执行完成或重新承诺日期。</w:t>
      </w:r>
    </w:p>
    <w:p>
      <w:r>
        <w:br w:type="page"/>
      </w:r>
    </w:p>
    <w:p>
      <w:pPr>
        <w:pStyle w:val="Heading1"/>
      </w:pPr>
      <w:r>
        <w:t>附录 B 交接口径和归档位置</w:t>
      </w:r>
    </w:p>
    <w:p>
      <w:r>
        <w:t>实施部交接以任务 ID、问题 ID、区域、批次和原始日期五项共同定位。引用正文时可用标题编号；引用履历时应同时给出履历 ID。引用脚注时应写明对应任务。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600"/>
        <w:gridCol w:w="3888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资料</w:t>
            </w:r>
          </w:p>
        </w:tc>
        <w:tc>
          <w:tcPr>
            <w:tcW w:type="dxa" w:w="36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定位方式</w:t>
            </w:r>
          </w:p>
        </w:tc>
        <w:tc>
          <w:tcPr>
            <w:tcW w:type="dxa" w:w="388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正文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2.x + 任务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目标与状态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脚注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任务 ID + 脚注号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计划前置条件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跨页表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履历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作业背景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附录 A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任务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已确定安排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工作簿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sheet + 记录 ID / 单元格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指标与问题统计</w:t>
            </w:r>
          </w:p>
        </w:tc>
      </w:tr>
    </w:tbl>
    <w:p>
      <w:r>
        <w:t>如发现内容与现行工作簿冲突，指标和问题数量按工作簿复算，目标与已批准安排按本材料。阶段汇报备注对适用范围作进一步限定。现行材料未给出的事实保持未知。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XQ-009 现场复核完成后方可扩大数据迁移范围。</w:t>
      </w:r>
    </w:p>
  </w:footnote>
  <w:footnote w:id="2">
    <w:p>
      <w:r>
        <w:footnoteRef/>
      </w:r>
      <w:r>
        <w:t> XQ-010 现场复核完成后方可扩大网点接入范围。</w:t>
      </w:r>
    </w:p>
  </w:footnote>
  <w:footnote w:id="3">
    <w:p>
      <w:r>
        <w:footnoteRef/>
      </w:r>
      <w:r>
        <w:t> XQ-011 现场复核完成后方可扩大坐席部署范围。</w:t>
      </w:r>
    </w:p>
  </w:footnote>
  <w:footnote w:id="4">
    <w:p>
      <w:r>
        <w:footnoteRef/>
      </w:r>
      <w:r>
        <w:t> XQ-012 现场复核完成后方可扩大网络联调范围。</w:t>
      </w:r>
    </w:p>
  </w:footnote>
  <w:footnote w:id="5">
    <w:p>
      <w:r>
        <w:footnoteRef/>
      </w:r>
      <w:r>
        <w:t> XQ-013 现场复核完成后方可扩大回滚演练范围。</w:t>
      </w:r>
    </w:p>
  </w:footnote>
  <w:footnote w:id="6">
    <w:p>
      <w:r>
        <w:footnoteRef/>
      </w:r>
      <w:r>
        <w:t> XQ-014 现场复核完成后方可扩大终端适配范围。</w:t>
      </w:r>
    </w:p>
  </w:footnote>
  <w:footnote w:id="7">
    <w:p>
      <w:r>
        <w:footnoteRef/>
      </w:r>
      <w:r>
        <w:t> XQ-015 现场复核完成后方可扩大权限复核范围。</w:t>
      </w:r>
    </w:p>
  </w:footnote>
  <w:footnote w:id="8">
    <w:p>
      <w:r>
        <w:footnoteRef/>
      </w:r>
      <w:r>
        <w:t> XQ-016 现场复核完成后方可扩大试点切换范围。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