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Агентные системы MCP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project mariner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Gemini sdk MCP tools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Gemini app agent mode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Alfa go Alfa zero - агентные системы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astra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NVIDIA CEO Jensen Huang Keynote at COMPUTEX 2025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1:10:00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NVIDIA NEMO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NVIDIA IQ bluepring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VAST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DELL datastorage platform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IBM dataplatform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Lzna9__DnI&amp;t=1640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