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color w:val="202122"/>
          <w:sz w:val="19"/>
          <w:szCs w:val="19"/>
          <w:shd w:fill="f8f9fa" w:val="clear"/>
        </w:rPr>
      </w:pPr>
      <w:r w:rsidDel="00000000" w:rsidR="00000000" w:rsidRPr="00000000">
        <w:rPr>
          <w:b w:val="1"/>
          <w:rtl w:val="0"/>
        </w:rPr>
        <w:t xml:space="preserve">Goethe “Faust” </w:t>
      </w:r>
      <w:r w:rsidDel="00000000" w:rsidR="00000000" w:rsidRPr="00000000">
        <w:rPr>
          <w:b w:val="1"/>
          <w:color w:val="202122"/>
          <w:sz w:val="19"/>
          <w:szCs w:val="19"/>
          <w:shd w:fill="f8f9fa" w:val="clear"/>
          <w:rtl w:val="0"/>
        </w:rPr>
        <w:t xml:space="preserve">1774—1831</w:t>
      </w:r>
    </w:p>
    <w:p w:rsidR="00000000" w:rsidDel="00000000" w:rsidP="00000000" w:rsidRDefault="00000000" w:rsidRPr="00000000" w14:paraId="00000002">
      <w:pPr>
        <w:rPr>
          <w:b w:val="1"/>
          <w:color w:val="202122"/>
          <w:sz w:val="19"/>
          <w:szCs w:val="19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64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источники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история автора и немного контекста</w:t>
      </w:r>
    </w:p>
    <w:p w:rsidR="00000000" w:rsidDel="00000000" w:rsidP="00000000" w:rsidRDefault="00000000" w:rsidRPr="00000000" w14:paraId="00000009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https://www.youtube.com/watch?v=Emm9wMONYTM&amp;t=510s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чтение на немецком</w:t>
      </w:r>
    </w:p>
    <w:p w:rsidR="00000000" w:rsidDel="00000000" w:rsidP="00000000" w:rsidRDefault="00000000" w:rsidRPr="00000000" w14:paraId="0000000C">
      <w:pPr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https://www.youtube.com/watch?v=ba06Ptd7N5A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https://www.youtube.com/watch?v=QPOn3hxgD_w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struct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контекст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QPOn3hxgD_w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www.youtube.com/watch?v=Emm9wMONYTM&amp;t=510s" TargetMode="External"/><Relationship Id="rId8" Type="http://schemas.openxmlformats.org/officeDocument/2006/relationships/hyperlink" Target="https://www.youtube.com/watch?v=ba06Ptd7N5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