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single" w:color="auto" w:sz="4"/>
          <w:insideV w:val="single" w:color="auto" w:sz="4"/>
        </w:tblBorders>
      </w:tblPr>
      <w:tblGrid>
        <w:gridCol w:w="7400"/>
        <w:gridCol w:w="4506"/>
      </w:tblGrid>
      <w:tr>
        <w:tc>
          <w:tcPr>
            <w:tcW w:type="dxa" w:w="7400"/>
            <w:tcBorders>
              <w:top w:val="none"/>
              <w:left w:val="none"/>
              <w:bottom w:val="none"/>
              <w:right w:val="none"/>
            </w:tcBorders>
            <w:shd w:fill="2C2C2C" w:val="clear"/>
            <w:tcMar>
              <w:top w:type="dxa" w:w="80"/>
              <w:left w:type="dxa" w:w="400"/>
              <w:bottom w:type="dxa" w:w="80"/>
              <w:right w:type="dxa" w:w="200"/>
            </w:tcMar>
            <w:vAlign w:val="top"/>
          </w:tcPr>
          <w:p>
            <w:pPr>
              <w:spacing w:after="40" w:before="220"/>
              <w:jc w:val="left"/>
            </w:pPr>
            <w:r>
              <w:rPr>
                <w:rFonts w:ascii="Calibri" w:cs="Calibri" w:eastAsia="Calibri" w:hAnsi="Calibri"/>
                <w:b/>
                <w:bCs/>
                <w:i w:val="false"/>
                <w:iCs w:val="false"/>
                <w:color w:val="FFFFFF"/>
                <w:sz w:val="52"/>
                <w:szCs w:val="52"/>
              </w:rPr>
              <w:t xml:space="preserve">DRITAN HASA</w:t>
            </w:r>
          </w:p>
          <w:p>
            <w:pPr>
              <w:spacing w:after="220" w:before="0"/>
              <w:jc w:val="left"/>
            </w:pPr>
            <w:r>
              <w:rPr>
                <w:rFonts w:ascii="Calibri" w:cs="Calibri" w:eastAsia="Calibri" w:hAnsi="Calibri"/>
                <w:b w:val="false"/>
                <w:bCs w:val="false"/>
                <w:i/>
                <w:iCs/>
                <w:color w:val="FFD0B0"/>
                <w:sz w:val="21"/>
                <w:szCs w:val="21"/>
              </w:rPr>
              <w:t xml:space="preserve">Logistics &amp; Supply Chain Coordinator  |  Junior Level</w:t>
            </w:r>
          </w:p>
        </w:tc>
        <w:tc>
          <w:tcPr>
            <w:tcW w:type="dxa" w:w="4506"/>
            <w:tcBorders>
              <w:top w:val="none"/>
              <w:left w:val="none"/>
              <w:bottom w:val="none"/>
              <w:right w:val="none"/>
            </w:tcBorders>
            <w:shd w:fill="2C2C2C" w:val="clear"/>
            <w:tcMar>
              <w:top w:type="dxa" w:w="80"/>
              <w:left w:type="dxa" w:w="200"/>
              <w:bottom w:type="dxa" w:w="80"/>
              <w:right w:type="dxa" w:w="400"/>
            </w:tcMar>
            <w:vAlign w:val="top"/>
          </w:tcPr>
          <w:p>
            <w:pPr>
              <w:spacing w:after="40" w:before="220"/>
              <w:jc w:val="left"/>
            </w:pPr>
            <w:r>
              <w:rPr>
                <w:rFonts w:ascii="Calibri" w:cs="Calibri" w:eastAsia="Calibri" w:hAnsi="Calibri"/>
                <w:b w:val="false"/>
                <w:bCs w:val="false"/>
                <w:i w:val="false"/>
                <w:iCs w:val="false"/>
                <w:color w:val="CCCCCC"/>
                <w:sz w:val="18"/>
                <w:szCs w:val="18"/>
              </w:rPr>
              <w:t xml:space="preserve">📍 Tirana, Albania</w:t>
            </w:r>
          </w:p>
          <w:p>
            <w:pPr>
              <w:spacing w:after="40" w:before="0"/>
              <w:jc w:val="left"/>
            </w:pPr>
            <w:r>
              <w:rPr>
                <w:rFonts w:ascii="Calibri" w:cs="Calibri" w:eastAsia="Calibri" w:hAnsi="Calibri"/>
                <w:b w:val="false"/>
                <w:bCs w:val="false"/>
                <w:i w:val="false"/>
                <w:iCs w:val="false"/>
                <w:color w:val="CCCCCC"/>
                <w:sz w:val="18"/>
                <w:szCs w:val="18"/>
              </w:rPr>
              <w:t xml:space="preserve">📞 +355 69 441 3312</w:t>
            </w:r>
          </w:p>
          <w:p>
            <w:pPr>
              <w:spacing w:after="40" w:before="0"/>
              <w:jc w:val="left"/>
            </w:pPr>
            <w:r>
              <w:rPr>
                <w:rFonts w:ascii="Calibri" w:cs="Calibri" w:eastAsia="Calibri" w:hAnsi="Calibri"/>
                <w:b w:val="false"/>
                <w:bCs w:val="false"/>
                <w:i w:val="false"/>
                <w:iCs w:val="false"/>
                <w:color w:val="CCCCCC"/>
                <w:sz w:val="18"/>
                <w:szCs w:val="18"/>
              </w:rPr>
              <w:t xml:space="preserve">✉ dritan.hasa@gmail.com</w:t>
            </w:r>
          </w:p>
          <w:p>
            <w:pPr>
              <w:spacing w:after="220" w:before="0"/>
              <w:jc w:val="left"/>
            </w:pPr>
            <w:r>
              <w:rPr>
                <w:rFonts w:ascii="Calibri" w:cs="Calibri" w:eastAsia="Calibri" w:hAnsi="Calibri"/>
                <w:b w:val="false"/>
                <w:bCs w:val="false"/>
                <w:i w:val="false"/>
                <w:iCs w:val="false"/>
                <w:color w:val="CCCCCC"/>
                <w:sz w:val="18"/>
                <w:szCs w:val="18"/>
              </w:rPr>
              <w:t xml:space="preserve">in linkedin.com/in/dritanhasa</w:t>
            </w:r>
          </w:p>
        </w:tc>
      </w:tr>
    </w:tbl>
    <w:tbl>
      <w:tblPr>
        <w:tblW w:type="dxa" w:w="11906"/>
        <w:tblBorders>
          <w:top w:val="none"/>
          <w:left w:val="none"/>
          <w:bottom w:val="none"/>
          <w:right w:val="none"/>
          <w:insideH w:val="single" w:color="auto" w:sz="4"/>
          <w:insideV w:val="single" w:color="auto" w:sz="4"/>
        </w:tblBorders>
      </w:tblPr>
      <w:tblGrid>
        <w:gridCol w:w="7400"/>
        <w:gridCol w:w="4506"/>
      </w:tblGrid>
      <w:tr>
        <w:tc>
          <w:tcPr>
            <w:tcW w:type="dxa" w:w="7400"/>
            <w:tcBorders>
              <w:top w:val="none"/>
              <w:left w:val="none"/>
              <w:bottom w:val="none"/>
              <w:right w:val="none"/>
            </w:tcBorders>
            <w:tcMar>
              <w:top w:type="dxa" w:w="80"/>
              <w:left w:type="dxa" w:w="400"/>
              <w:bottom w:type="dxa" w:w="80"/>
              <w:right w:type="dxa" w:w="200"/>
            </w:tcMar>
            <w:vAlign w:val="top"/>
          </w:tcPr>
          <w:p>
            <w:pPr>
              <w:pBdr>
                <w:bottom w:val="single" w:color="E8611A" w:sz="6" w:space="1"/>
              </w:pBdr>
              <w:spacing w:after="100" w:before="200"/>
            </w:pPr>
            <w:r>
              <w:rPr>
                <w:rFonts w:ascii="Calibri" w:cs="Calibri" w:eastAsia="Calibri" w:hAnsi="Calibri"/>
                <w:b/>
                <w:bCs/>
                <w:i w:val="false"/>
                <w:iCs w:val="false"/>
                <w:color w:val="E8611A"/>
                <w:sz w:val="19"/>
                <w:szCs w:val="19"/>
              </w:rPr>
              <w:t xml:space="preserve">PROFESSIONAL SUMMARY</w:t>
            </w:r>
          </w:p>
          <w:p>
            <w:pPr>
              <w:spacing w:after="60" w:before="0"/>
              <w:jc w:val="left"/>
            </w:pPr>
            <w:r>
              <w:rPr>
                <w:rFonts w:ascii="Calibri" w:cs="Calibri" w:eastAsia="Calibri" w:hAnsi="Calibri"/>
                <w:b w:val="false"/>
                <w:bCs w:val="false"/>
                <w:i w:val="false"/>
                <w:iCs w:val="false"/>
                <w:color w:val="1A1A1A"/>
                <w:sz w:val="19"/>
                <w:szCs w:val="19"/>
              </w:rPr>
              <w:t xml:space="preserve">Detail-oriented and analytically minded recent graduate in Business and Logistics with hands-on internship experience in warehouse operations, freight coordination, and supply chain data management. Familiar with ERP systems and logistics documentation including customs declarations, bills of lading, and delivery orders. Comfortable working in fast-paced import/export environments and committed to process accuracy and on-time delivery performance.</w:t>
            </w:r>
          </w:p>
          <w:p>
            <w:pPr>
              <w:pBdr>
                <w:bottom w:val="single" w:color="E8611A" w:sz="6" w:space="1"/>
              </w:pBdr>
              <w:spacing w:after="100" w:before="200"/>
            </w:pPr>
            <w:r>
              <w:rPr>
                <w:rFonts w:ascii="Calibri" w:cs="Calibri" w:eastAsia="Calibri" w:hAnsi="Calibri"/>
                <w:b/>
                <w:bCs/>
                <w:i w:val="false"/>
                <w:iCs w:val="false"/>
                <w:color w:val="E8611A"/>
                <w:sz w:val="19"/>
                <w:szCs w:val="19"/>
              </w:rPr>
              <w:t xml:space="preserve">WORK EXPERIENCE</w:t>
            </w:r>
          </w:p>
          <w:p>
            <w:pPr>
              <w:spacing w:after="20" w:before="100"/>
              <w:jc w:val="left"/>
            </w:pPr>
            <w:r>
              <w:rPr>
                <w:rFonts w:ascii="Calibri" w:cs="Calibri" w:eastAsia="Calibri" w:hAnsi="Calibri"/>
                <w:b/>
                <w:bCs/>
                <w:i w:val="false"/>
                <w:iCs w:val="false"/>
                <w:color w:val="E8611A"/>
                <w:sz w:val="20"/>
                <w:szCs w:val="20"/>
              </w:rPr>
              <w:t xml:space="preserve">Logistics Operations Intern  </w:t>
            </w:r>
            <w:r>
              <w:rPr>
                <w:rFonts w:ascii="Calibri" w:cs="Calibri" w:eastAsia="Calibri" w:hAnsi="Calibri"/>
                <w:b w:val="false"/>
                <w:bCs w:val="false"/>
                <w:i w:val="false"/>
                <w:iCs w:val="false"/>
                <w:color w:val="666666"/>
                <w:sz w:val="19"/>
                <w:szCs w:val="19"/>
              </w:rPr>
              <w:t xml:space="preserve">|  Gefco Albania</w:t>
            </w:r>
          </w:p>
          <w:p>
            <w:pPr>
              <w:spacing w:after="60" w:before="0"/>
              <w:jc w:val="left"/>
            </w:pPr>
            <w:r>
              <w:rPr>
                <w:rFonts w:ascii="Calibri" w:cs="Calibri" w:eastAsia="Calibri" w:hAnsi="Calibri"/>
                <w:b w:val="false"/>
                <w:bCs w:val="false"/>
                <w:i/>
                <w:iCs/>
                <w:color w:val="666666"/>
                <w:sz w:val="18"/>
                <w:szCs w:val="18"/>
              </w:rPr>
              <w:t xml:space="preserve">March 2024 – September 2024  |  Full-time  |  Tirana, Albania</w:t>
            </w:r>
          </w:p>
          <w:p>
            <w:pPr>
              <w:spacing w:after="60" w:before="0"/>
              <w:jc w:val="left"/>
            </w:pPr>
            <w:r>
              <w:rPr>
                <w:rFonts w:ascii="Calibri" w:cs="Calibri" w:eastAsia="Calibri" w:hAnsi="Calibri"/>
                <w:b w:val="false"/>
                <w:bCs w:val="false"/>
                <w:i w:val="false"/>
                <w:iCs w:val="false"/>
                <w:color w:val="1A1A1A"/>
                <w:sz w:val="19"/>
                <w:szCs w:val="19"/>
              </w:rPr>
              <w:t xml:space="preserve">Joined the operations team of one of Albania's leading freight and logistics providers, supporting the coordination of inbound and outbound shipments for automotive and industrial sector clients across the Western Balkans corridor.</w:t>
            </w:r>
          </w:p>
          <w:p>
            <w:pPr>
              <w:spacing w:after="30" w:before="30"/>
              <w:ind w:left="160"/>
            </w:pPr>
            <w:r>
              <w:rPr>
                <w:rFonts w:ascii="Calibri" w:cs="Calibri" w:eastAsia="Calibri" w:hAnsi="Calibri"/>
                <w:b w:val="false"/>
                <w:bCs w:val="false"/>
                <w:i w:val="false"/>
                <w:iCs w:val="false"/>
                <w:color w:val="1A1A1A"/>
                <w:sz w:val="19"/>
                <w:szCs w:val="19"/>
              </w:rPr>
              <w:t xml:space="preserve">▸  Tracked and updated shipment status for 40–60 active consignments daily using the company's TMS platform</w:t>
            </w:r>
          </w:p>
          <w:p>
            <w:pPr>
              <w:spacing w:after="30" w:before="30"/>
              <w:ind w:left="160"/>
            </w:pPr>
            <w:r>
              <w:rPr>
                <w:rFonts w:ascii="Calibri" w:cs="Calibri" w:eastAsia="Calibri" w:hAnsi="Calibri"/>
                <w:b w:val="false"/>
                <w:bCs w:val="false"/>
                <w:i w:val="false"/>
                <w:iCs w:val="false"/>
                <w:color w:val="1A1A1A"/>
                <w:sz w:val="19"/>
                <w:szCs w:val="19"/>
              </w:rPr>
              <w:t xml:space="preserve">▸  Prepared and verified freight documentation including CMR waybills, packing lists, and customs declarations</w:t>
            </w:r>
          </w:p>
          <w:p>
            <w:pPr>
              <w:spacing w:after="30" w:before="30"/>
              <w:ind w:left="160"/>
            </w:pPr>
            <w:r>
              <w:rPr>
                <w:rFonts w:ascii="Calibri" w:cs="Calibri" w:eastAsia="Calibri" w:hAnsi="Calibri"/>
                <w:b w:val="false"/>
                <w:bCs w:val="false"/>
                <w:i w:val="false"/>
                <w:iCs w:val="false"/>
                <w:color w:val="1A1A1A"/>
                <w:sz w:val="19"/>
                <w:szCs w:val="19"/>
              </w:rPr>
              <w:t xml:space="preserve">▸  Coordinated with customs brokers, carriers, and warehouse teams to resolve documentation discrepancies and clearance delays</w:t>
            </w:r>
          </w:p>
          <w:p>
            <w:pPr>
              <w:spacing w:after="30" w:before="30"/>
              <w:ind w:left="160"/>
            </w:pPr>
            <w:r>
              <w:rPr>
                <w:rFonts w:ascii="Calibri" w:cs="Calibri" w:eastAsia="Calibri" w:hAnsi="Calibri"/>
                <w:b w:val="false"/>
                <w:bCs w:val="false"/>
                <w:i w:val="false"/>
                <w:iCs w:val="false"/>
                <w:color w:val="1A1A1A"/>
                <w:sz w:val="19"/>
                <w:szCs w:val="19"/>
              </w:rPr>
              <w:t xml:space="preserve">▸  Assisted in warehouse receiving operations including goods inspection, barcode scanning, and stock entry into the WMS</w:t>
            </w:r>
          </w:p>
          <w:p>
            <w:pPr>
              <w:spacing w:after="30" w:before="30"/>
              <w:ind w:left="160"/>
            </w:pPr>
            <w:r>
              <w:rPr>
                <w:rFonts w:ascii="Calibri" w:cs="Calibri" w:eastAsia="Calibri" w:hAnsi="Calibri"/>
                <w:b w:val="false"/>
                <w:bCs w:val="false"/>
                <w:i w:val="false"/>
                <w:iCs w:val="false"/>
                <w:color w:val="1A1A1A"/>
                <w:sz w:val="19"/>
                <w:szCs w:val="19"/>
              </w:rPr>
              <w:t xml:space="preserve">▸  Generated daily and weekly KPI reports on shipment volumes, on-time delivery rates, and transit time performance</w:t>
            </w:r>
          </w:p>
          <w:p>
            <w:pPr>
              <w:spacing w:after="30" w:before="30"/>
              <w:ind w:left="160"/>
            </w:pPr>
            <w:r>
              <w:rPr>
                <w:rFonts w:ascii="Calibri" w:cs="Calibri" w:eastAsia="Calibri" w:hAnsi="Calibri"/>
                <w:b w:val="false"/>
                <w:bCs w:val="false"/>
                <w:i w:val="false"/>
                <w:iCs w:val="false"/>
                <w:color w:val="1A1A1A"/>
                <w:sz w:val="19"/>
                <w:szCs w:val="19"/>
              </w:rPr>
              <w:t xml:space="preserve">▸  Supported the procurement team in obtaining carrier quotes and comparing freight rates across road and air modes</w:t>
            </w:r>
          </w:p>
          <w:p>
            <w:pPr>
              <w:spacing w:after="20" w:before="120"/>
              <w:jc w:val="left"/>
            </w:pPr>
            <w:r>
              <w:rPr>
                <w:rFonts w:ascii="Calibri" w:cs="Calibri" w:eastAsia="Calibri" w:hAnsi="Calibri"/>
                <w:b/>
                <w:bCs/>
                <w:i w:val="false"/>
                <w:iCs w:val="false"/>
                <w:color w:val="E8611A"/>
                <w:sz w:val="20"/>
                <w:szCs w:val="20"/>
              </w:rPr>
              <w:t xml:space="preserve">Supply Chain Assistant  </w:t>
            </w:r>
            <w:r>
              <w:rPr>
                <w:rFonts w:ascii="Calibri" w:cs="Calibri" w:eastAsia="Calibri" w:hAnsi="Calibri"/>
                <w:b w:val="false"/>
                <w:bCs w:val="false"/>
                <w:i w:val="false"/>
                <w:iCs w:val="false"/>
                <w:color w:val="666666"/>
                <w:sz w:val="19"/>
                <w:szCs w:val="19"/>
              </w:rPr>
              <w:t xml:space="preserve">|  Balfin Group — Logistics Division</w:t>
            </w:r>
          </w:p>
          <w:p>
            <w:pPr>
              <w:spacing w:after="60" w:before="0"/>
              <w:jc w:val="left"/>
            </w:pPr>
            <w:r>
              <w:rPr>
                <w:rFonts w:ascii="Calibri" w:cs="Calibri" w:eastAsia="Calibri" w:hAnsi="Calibri"/>
                <w:b w:val="false"/>
                <w:bCs w:val="false"/>
                <w:i/>
                <w:iCs/>
                <w:color w:val="666666"/>
                <w:sz w:val="18"/>
                <w:szCs w:val="18"/>
              </w:rPr>
              <w:t xml:space="preserve">October 2022 – March 2023  |  Part-time  |  Tirana, Albania</w:t>
            </w:r>
          </w:p>
          <w:p>
            <w:pPr>
              <w:spacing w:after="60" w:before="0"/>
              <w:jc w:val="left"/>
            </w:pPr>
            <w:r>
              <w:rPr>
                <w:rFonts w:ascii="Calibri" w:cs="Calibri" w:eastAsia="Calibri" w:hAnsi="Calibri"/>
                <w:b w:val="false"/>
                <w:bCs w:val="false"/>
                <w:i w:val="false"/>
                <w:iCs w:val="false"/>
                <w:color w:val="1A1A1A"/>
                <w:sz w:val="19"/>
                <w:szCs w:val="19"/>
              </w:rPr>
              <w:t xml:space="preserve">Supported the internal logistics team of a large Albanian conglomerate managing stock movements across retail and construction business units.</w:t>
            </w:r>
          </w:p>
          <w:p>
            <w:pPr>
              <w:spacing w:after="30" w:before="30"/>
              <w:ind w:left="160"/>
            </w:pPr>
            <w:r>
              <w:rPr>
                <w:rFonts w:ascii="Calibri" w:cs="Calibri" w:eastAsia="Calibri" w:hAnsi="Calibri"/>
                <w:b w:val="false"/>
                <w:bCs w:val="false"/>
                <w:i w:val="false"/>
                <w:iCs w:val="false"/>
                <w:color w:val="1A1A1A"/>
                <w:sz w:val="19"/>
                <w:szCs w:val="19"/>
              </w:rPr>
              <w:t xml:space="preserve">▸  Assisted in maintaining accurate inventory records across three warehouse locations using SAP Logistics</w:t>
            </w:r>
          </w:p>
          <w:p>
            <w:pPr>
              <w:spacing w:after="30" w:before="30"/>
              <w:ind w:left="160"/>
            </w:pPr>
            <w:r>
              <w:rPr>
                <w:rFonts w:ascii="Calibri" w:cs="Calibri" w:eastAsia="Calibri" w:hAnsi="Calibri"/>
                <w:b w:val="false"/>
                <w:bCs w:val="false"/>
                <w:i w:val="false"/>
                <w:iCs w:val="false"/>
                <w:color w:val="1A1A1A"/>
                <w:sz w:val="19"/>
                <w:szCs w:val="19"/>
              </w:rPr>
              <w:t xml:space="preserve">▸  Coordinated internal delivery schedules between the central warehouse and retail outlets</w:t>
            </w:r>
          </w:p>
          <w:p>
            <w:pPr>
              <w:spacing w:after="30" w:before="30"/>
              <w:ind w:left="160"/>
            </w:pPr>
            <w:r>
              <w:rPr>
                <w:rFonts w:ascii="Calibri" w:cs="Calibri" w:eastAsia="Calibri" w:hAnsi="Calibri"/>
                <w:b w:val="false"/>
                <w:bCs w:val="false"/>
                <w:i w:val="false"/>
                <w:iCs w:val="false"/>
                <w:color w:val="1A1A1A"/>
                <w:sz w:val="19"/>
                <w:szCs w:val="19"/>
              </w:rPr>
              <w:t xml:space="preserve">▸  Processed supplier delivery notes and matched them against purchase orders for discrepancy reporting</w:t>
            </w:r>
          </w:p>
          <w:p>
            <w:pPr>
              <w:pBdr>
                <w:bottom w:val="single" w:color="E8611A" w:sz="6" w:space="1"/>
              </w:pBdr>
              <w:spacing w:after="100" w:before="200"/>
            </w:pPr>
            <w:r>
              <w:rPr>
                <w:rFonts w:ascii="Calibri" w:cs="Calibri" w:eastAsia="Calibri" w:hAnsi="Calibri"/>
                <w:b/>
                <w:bCs/>
                <w:i w:val="false"/>
                <w:iCs w:val="false"/>
                <w:color w:val="E8611A"/>
                <w:sz w:val="19"/>
                <w:szCs w:val="19"/>
              </w:rPr>
              <w:t xml:space="preserve">EDUCATION</w:t>
            </w:r>
          </w:p>
          <w:p>
            <w:pPr>
              <w:spacing w:after="20" w:before="80"/>
              <w:jc w:val="left"/>
            </w:pPr>
            <w:r>
              <w:rPr>
                <w:rFonts w:ascii="Calibri" w:cs="Calibri" w:eastAsia="Calibri" w:hAnsi="Calibri"/>
                <w:b/>
                <w:bCs/>
                <w:i w:val="false"/>
                <w:iCs w:val="false"/>
                <w:color w:val="E8611A"/>
                <w:sz w:val="20"/>
                <w:szCs w:val="20"/>
              </w:rPr>
              <w:t xml:space="preserve">Bachelor of Science in Business Administration — Logistics and Supply Chain Management</w:t>
            </w:r>
          </w:p>
          <w:p>
            <w:pPr>
              <w:spacing w:after="40" w:before="0"/>
              <w:jc w:val="left"/>
            </w:pPr>
            <w:r>
              <w:rPr>
                <w:rFonts w:ascii="Calibri" w:cs="Calibri" w:eastAsia="Calibri" w:hAnsi="Calibri"/>
                <w:b w:val="false"/>
                <w:bCs w:val="false"/>
                <w:i/>
                <w:iCs/>
                <w:color w:val="666666"/>
                <w:sz w:val="18"/>
                <w:szCs w:val="18"/>
              </w:rPr>
              <w:t xml:space="preserve">European University of Tirana  |  2020 – 2024  |  GPA: 3.6/4.0</w:t>
            </w:r>
          </w:p>
          <w:p>
            <w:pPr>
              <w:spacing w:after="60" w:before="0"/>
              <w:jc w:val="left"/>
            </w:pPr>
            <w:r>
              <w:rPr>
                <w:rFonts w:ascii="Calibri" w:cs="Calibri" w:eastAsia="Calibri" w:hAnsi="Calibri"/>
                <w:b w:val="false"/>
                <w:bCs w:val="false"/>
                <w:i w:val="false"/>
                <w:iCs w:val="false"/>
                <w:color w:val="666666"/>
                <w:sz w:val="18"/>
                <w:szCs w:val="18"/>
              </w:rPr>
              <w:t xml:space="preserve">Key Subjects: Supply Chain Management, Warehouse and Inventory Management, International Trade and Customs, Freight and Transportation, Procurement and Sourcing, Operations Management, ERP Systems, Business Statistics</w:t>
            </w:r>
          </w:p>
        </w:tc>
        <w:tc>
          <w:tcPr>
            <w:tcW w:type="dxa" w:w="4506"/>
            <w:tcBorders>
              <w:top w:val="none"/>
              <w:left w:val="none"/>
              <w:bottom w:val="none"/>
              <w:right w:val="none"/>
            </w:tcBorders>
            <w:shd w:fill="F4F4F4" w:val="clear"/>
            <w:tcMar>
              <w:top w:type="dxa" w:w="80"/>
              <w:left w:type="dxa" w:w="160"/>
              <w:bottom w:type="dxa" w:w="80"/>
              <w:right w:type="dxa" w:w="160"/>
            </w:tcMar>
            <w:vAlign w:val="top"/>
          </w:tcPr>
          <w:p>
            <w:pPr>
              <w:shd w:fill="E8611A" w:val="clear"/>
              <w:spacing w:after="80" w:before="160"/>
              <w:ind w:left="80"/>
            </w:pPr>
            <w:r>
              <w:rPr>
                <w:rFonts w:ascii="Calibri" w:cs="Calibri" w:eastAsia="Calibri" w:hAnsi="Calibri"/>
                <w:b/>
                <w:bCs/>
                <w:i w:val="false"/>
                <w:iCs w:val="false"/>
                <w:color w:val="FFFFFF"/>
                <w:sz w:val="18"/>
                <w:szCs w:val="18"/>
              </w:rPr>
              <w:t xml:space="preserve">CORE SKILLS</w:t>
            </w:r>
          </w:p>
          <w:p>
            <w:pPr>
              <w:spacing w:after="30" w:before="30"/>
              <w:ind w:left="80"/>
            </w:pPr>
            <w:r>
              <w:rPr>
                <w:rFonts w:ascii="Calibri" w:cs="Calibri" w:eastAsia="Calibri" w:hAnsi="Calibri"/>
                <w:b w:val="false"/>
                <w:bCs w:val="false"/>
                <w:i w:val="false"/>
                <w:iCs w:val="false"/>
                <w:color w:val="1A1A1A"/>
                <w:sz w:val="18"/>
                <w:szCs w:val="18"/>
              </w:rPr>
              <w:t xml:space="preserve">✓  Freight documentation</w:t>
            </w:r>
          </w:p>
          <w:p>
            <w:pPr>
              <w:spacing w:after="30" w:before="30"/>
              <w:ind w:left="80"/>
            </w:pPr>
            <w:r>
              <w:rPr>
                <w:rFonts w:ascii="Calibri" w:cs="Calibri" w:eastAsia="Calibri" w:hAnsi="Calibri"/>
                <w:b w:val="false"/>
                <w:bCs w:val="false"/>
                <w:i w:val="false"/>
                <w:iCs w:val="false"/>
                <w:color w:val="1A1A1A"/>
                <w:sz w:val="18"/>
                <w:szCs w:val="18"/>
              </w:rPr>
              <w:t xml:space="preserve">✓  Shipment tracking &amp; TMS</w:t>
            </w:r>
          </w:p>
          <w:p>
            <w:pPr>
              <w:spacing w:after="30" w:before="30"/>
              <w:ind w:left="80"/>
            </w:pPr>
            <w:r>
              <w:rPr>
                <w:rFonts w:ascii="Calibri" w:cs="Calibri" w:eastAsia="Calibri" w:hAnsi="Calibri"/>
                <w:b w:val="false"/>
                <w:bCs w:val="false"/>
                <w:i w:val="false"/>
                <w:iCs w:val="false"/>
                <w:color w:val="1A1A1A"/>
                <w:sz w:val="18"/>
                <w:szCs w:val="18"/>
              </w:rPr>
              <w:t xml:space="preserve">✓  Warehouse operations</w:t>
            </w:r>
          </w:p>
          <w:p>
            <w:pPr>
              <w:spacing w:after="30" w:before="30"/>
              <w:ind w:left="80"/>
            </w:pPr>
            <w:r>
              <w:rPr>
                <w:rFonts w:ascii="Calibri" w:cs="Calibri" w:eastAsia="Calibri" w:hAnsi="Calibri"/>
                <w:b w:val="false"/>
                <w:bCs w:val="false"/>
                <w:i w:val="false"/>
                <w:iCs w:val="false"/>
                <w:color w:val="1A1A1A"/>
                <w:sz w:val="18"/>
                <w:szCs w:val="18"/>
              </w:rPr>
              <w:t xml:space="preserve">✓  Customs declaration support</w:t>
            </w:r>
          </w:p>
          <w:p>
            <w:pPr>
              <w:spacing w:after="30" w:before="30"/>
              <w:ind w:left="80"/>
            </w:pPr>
            <w:r>
              <w:rPr>
                <w:rFonts w:ascii="Calibri" w:cs="Calibri" w:eastAsia="Calibri" w:hAnsi="Calibri"/>
                <w:b w:val="false"/>
                <w:bCs w:val="false"/>
                <w:i w:val="false"/>
                <w:iCs w:val="false"/>
                <w:color w:val="1A1A1A"/>
                <w:sz w:val="18"/>
                <w:szCs w:val="18"/>
              </w:rPr>
              <w:t xml:space="preserve">✓  Inventory management</w:t>
            </w:r>
          </w:p>
          <w:p>
            <w:pPr>
              <w:spacing w:after="30" w:before="30"/>
              <w:ind w:left="80"/>
            </w:pPr>
            <w:r>
              <w:rPr>
                <w:rFonts w:ascii="Calibri" w:cs="Calibri" w:eastAsia="Calibri" w:hAnsi="Calibri"/>
                <w:b w:val="false"/>
                <w:bCs w:val="false"/>
                <w:i w:val="false"/>
                <w:iCs w:val="false"/>
                <w:color w:val="1A1A1A"/>
                <w:sz w:val="18"/>
                <w:szCs w:val="18"/>
              </w:rPr>
              <w:t xml:space="preserve">✓  Carrier coordination</w:t>
            </w:r>
          </w:p>
          <w:p>
            <w:pPr>
              <w:spacing w:after="30" w:before="30"/>
              <w:ind w:left="80"/>
            </w:pPr>
            <w:r>
              <w:rPr>
                <w:rFonts w:ascii="Calibri" w:cs="Calibri" w:eastAsia="Calibri" w:hAnsi="Calibri"/>
                <w:b w:val="false"/>
                <w:bCs w:val="false"/>
                <w:i w:val="false"/>
                <w:iCs w:val="false"/>
                <w:color w:val="1A1A1A"/>
                <w:sz w:val="18"/>
                <w:szCs w:val="18"/>
              </w:rPr>
              <w:t xml:space="preserve">✓  KPI reporting</w:t>
            </w:r>
          </w:p>
          <w:p>
            <w:pPr>
              <w:spacing w:after="30" w:before="30"/>
              <w:ind w:left="80"/>
            </w:pPr>
            <w:r>
              <w:rPr>
                <w:rFonts w:ascii="Calibri" w:cs="Calibri" w:eastAsia="Calibri" w:hAnsi="Calibri"/>
                <w:b w:val="false"/>
                <w:bCs w:val="false"/>
                <w:i w:val="false"/>
                <w:iCs w:val="false"/>
                <w:color w:val="1A1A1A"/>
                <w:sz w:val="18"/>
                <w:szCs w:val="18"/>
              </w:rPr>
              <w:t xml:space="preserve">✓  SAP Logistics (basic)</w:t>
            </w:r>
          </w:p>
          <w:p>
            <w:pPr>
              <w:spacing w:after="30" w:before="30"/>
              <w:ind w:left="80"/>
            </w:pPr>
            <w:r>
              <w:rPr>
                <w:rFonts w:ascii="Calibri" w:cs="Calibri" w:eastAsia="Calibri" w:hAnsi="Calibri"/>
                <w:b w:val="false"/>
                <w:bCs w:val="false"/>
                <w:i w:val="false"/>
                <w:iCs w:val="false"/>
                <w:color w:val="1A1A1A"/>
                <w:sz w:val="18"/>
                <w:szCs w:val="18"/>
              </w:rPr>
              <w:t xml:space="preserve">✓  ERP system navigation</w:t>
            </w:r>
          </w:p>
          <w:p>
            <w:pPr>
              <w:spacing w:after="30" w:before="30"/>
              <w:ind w:left="80"/>
            </w:pPr>
            <w:r>
              <w:rPr>
                <w:rFonts w:ascii="Calibri" w:cs="Calibri" w:eastAsia="Calibri" w:hAnsi="Calibri"/>
                <w:b w:val="false"/>
                <w:bCs w:val="false"/>
                <w:i w:val="false"/>
                <w:iCs w:val="false"/>
                <w:color w:val="1A1A1A"/>
                <w:sz w:val="18"/>
                <w:szCs w:val="18"/>
              </w:rPr>
              <w:t xml:space="preserve">✓  Import/export procedures</w:t>
            </w:r>
          </w:p>
          <w:p>
            <w:pPr>
              <w:shd w:fill="E8611A" w:val="clear"/>
              <w:spacing w:after="80" w:before="180"/>
              <w:ind w:left="80"/>
            </w:pPr>
            <w:r>
              <w:rPr>
                <w:rFonts w:ascii="Calibri" w:cs="Calibri" w:eastAsia="Calibri" w:hAnsi="Calibri"/>
                <w:b/>
                <w:bCs/>
                <w:i w:val="false"/>
                <w:iCs w:val="false"/>
                <w:color w:val="FFFFFF"/>
                <w:sz w:val="18"/>
                <w:szCs w:val="18"/>
              </w:rPr>
              <w:t xml:space="preserve">LANGUAGES</w:t>
            </w:r>
          </w:p>
          <w:p>
            <w:pPr>
              <w:spacing w:after="30" w:before="0"/>
              <w:jc w:val="left"/>
            </w:pPr>
            <w:r>
              <w:rPr>
                <w:rFonts w:ascii="Calibri" w:cs="Calibri" w:eastAsia="Calibri" w:hAnsi="Calibri"/>
                <w:b/>
                <w:bCs/>
                <w:i w:val="false"/>
                <w:iCs w:val="false"/>
                <w:color w:val="1A1A1A"/>
                <w:sz w:val="18"/>
                <w:szCs w:val="18"/>
              </w:rPr>
              <w:t xml:space="preserve">Albanian  </w:t>
            </w:r>
            <w:r>
              <w:rPr>
                <w:rFonts w:ascii="Calibri" w:cs="Calibri" w:eastAsia="Calibri" w:hAnsi="Calibri"/>
                <w:b w:val="false"/>
                <w:bCs w:val="false"/>
                <w:i w:val="false"/>
                <w:iCs w:val="false"/>
                <w:color w:val="666666"/>
                <w:sz w:val="18"/>
                <w:szCs w:val="18"/>
              </w:rPr>
              <w:t xml:space="preserve">Native</w:t>
            </w:r>
          </w:p>
          <w:p>
            <w:pPr>
              <w:spacing w:after="30" w:before="0"/>
              <w:jc w:val="left"/>
            </w:pPr>
            <w:r>
              <w:rPr>
                <w:rFonts w:ascii="Calibri" w:cs="Calibri" w:eastAsia="Calibri" w:hAnsi="Calibri"/>
                <w:b/>
                <w:bCs/>
                <w:i w:val="false"/>
                <w:iCs w:val="false"/>
                <w:color w:val="1A1A1A"/>
                <w:sz w:val="18"/>
                <w:szCs w:val="18"/>
              </w:rPr>
              <w:t xml:space="preserve">English  </w:t>
            </w:r>
            <w:r>
              <w:rPr>
                <w:rFonts w:ascii="Calibri" w:cs="Calibri" w:eastAsia="Calibri" w:hAnsi="Calibri"/>
                <w:b w:val="false"/>
                <w:bCs w:val="false"/>
                <w:i w:val="false"/>
                <w:iCs w:val="false"/>
                <w:color w:val="666666"/>
                <w:sz w:val="18"/>
                <w:szCs w:val="18"/>
              </w:rPr>
              <w:t xml:space="preserve">Fluent (C1)</w:t>
            </w:r>
          </w:p>
          <w:p>
            <w:pPr>
              <w:spacing w:after="30" w:before="0"/>
              <w:jc w:val="left"/>
            </w:pPr>
            <w:r>
              <w:rPr>
                <w:rFonts w:ascii="Calibri" w:cs="Calibri" w:eastAsia="Calibri" w:hAnsi="Calibri"/>
                <w:b/>
                <w:bCs/>
                <w:i w:val="false"/>
                <w:iCs w:val="false"/>
                <w:color w:val="1A1A1A"/>
                <w:sz w:val="18"/>
                <w:szCs w:val="18"/>
              </w:rPr>
              <w:t xml:space="preserve">Italian  </w:t>
            </w:r>
            <w:r>
              <w:rPr>
                <w:rFonts w:ascii="Calibri" w:cs="Calibri" w:eastAsia="Calibri" w:hAnsi="Calibri"/>
                <w:b w:val="false"/>
                <w:bCs w:val="false"/>
                <w:i w:val="false"/>
                <w:iCs w:val="false"/>
                <w:color w:val="666666"/>
                <w:sz w:val="18"/>
                <w:szCs w:val="18"/>
              </w:rPr>
              <w:t xml:space="preserve">Intermediate (B1)</w:t>
            </w:r>
          </w:p>
          <w:p>
            <w:pPr>
              <w:shd w:fill="E8611A" w:val="clear"/>
              <w:spacing w:after="80" w:before="180"/>
              <w:ind w:left="80"/>
            </w:pPr>
            <w:r>
              <w:rPr>
                <w:rFonts w:ascii="Calibri" w:cs="Calibri" w:eastAsia="Calibri" w:hAnsi="Calibri"/>
                <w:b/>
                <w:bCs/>
                <w:i w:val="false"/>
                <w:iCs w:val="false"/>
                <w:color w:val="FFFFFF"/>
                <w:sz w:val="18"/>
                <w:szCs w:val="18"/>
              </w:rPr>
              <w:t xml:space="preserve">TOOLS &amp; SOFTWARE</w:t>
            </w:r>
          </w:p>
          <w:p>
            <w:pPr>
              <w:spacing w:after="30" w:before="0"/>
              <w:jc w:val="left"/>
            </w:pPr>
            <w:r>
              <w:rPr>
                <w:rFonts w:ascii="Calibri" w:cs="Calibri" w:eastAsia="Calibri" w:hAnsi="Calibri"/>
                <w:b w:val="false"/>
                <w:bCs w:val="false"/>
                <w:i w:val="false"/>
                <w:iCs w:val="false"/>
                <w:color w:val="1A1A1A"/>
                <w:sz w:val="18"/>
                <w:szCs w:val="18"/>
              </w:rPr>
              <w:t xml:space="preserve">SAP Logistics (basic)</w:t>
            </w:r>
          </w:p>
          <w:p>
            <w:pPr>
              <w:spacing w:after="30" w:before="0"/>
              <w:jc w:val="left"/>
            </w:pPr>
            <w:r>
              <w:rPr>
                <w:rFonts w:ascii="Calibri" w:cs="Calibri" w:eastAsia="Calibri" w:hAnsi="Calibri"/>
                <w:b w:val="false"/>
                <w:bCs w:val="false"/>
                <w:i w:val="false"/>
                <w:iCs w:val="false"/>
                <w:color w:val="1A1A1A"/>
                <w:sz w:val="18"/>
                <w:szCs w:val="18"/>
              </w:rPr>
              <w:t xml:space="preserve">Microsoft Excel (advanced)</w:t>
            </w:r>
          </w:p>
          <w:p>
            <w:pPr>
              <w:spacing w:after="30" w:before="0"/>
              <w:jc w:val="left"/>
            </w:pPr>
            <w:r>
              <w:rPr>
                <w:rFonts w:ascii="Calibri" w:cs="Calibri" w:eastAsia="Calibri" w:hAnsi="Calibri"/>
                <w:b w:val="false"/>
                <w:bCs w:val="false"/>
                <w:i w:val="false"/>
                <w:iCs w:val="false"/>
                <w:color w:val="1A1A1A"/>
                <w:sz w:val="18"/>
                <w:szCs w:val="18"/>
              </w:rPr>
              <w:t xml:space="preserve">TMS platforms</w:t>
            </w:r>
          </w:p>
          <w:p>
            <w:pPr>
              <w:spacing w:after="30" w:before="0"/>
              <w:jc w:val="left"/>
            </w:pPr>
            <w:r>
              <w:rPr>
                <w:rFonts w:ascii="Calibri" w:cs="Calibri" w:eastAsia="Calibri" w:hAnsi="Calibri"/>
                <w:b w:val="false"/>
                <w:bCs w:val="false"/>
                <w:i w:val="false"/>
                <w:iCs w:val="false"/>
                <w:color w:val="1A1A1A"/>
                <w:sz w:val="18"/>
                <w:szCs w:val="18"/>
              </w:rPr>
              <w:t xml:space="preserve">WMS systems (basic)</w:t>
            </w:r>
          </w:p>
          <w:p>
            <w:pPr>
              <w:spacing w:after="30" w:before="0"/>
              <w:jc w:val="left"/>
            </w:pPr>
            <w:r>
              <w:rPr>
                <w:rFonts w:ascii="Calibri" w:cs="Calibri" w:eastAsia="Calibri" w:hAnsi="Calibri"/>
                <w:b w:val="false"/>
                <w:bCs w:val="false"/>
                <w:i w:val="false"/>
                <w:iCs w:val="false"/>
                <w:color w:val="1A1A1A"/>
                <w:sz w:val="18"/>
                <w:szCs w:val="18"/>
              </w:rPr>
              <w:t xml:space="preserve">Google Workspace</w:t>
            </w:r>
          </w:p>
          <w:p>
            <w:pPr>
              <w:shd w:fill="E8611A" w:val="clear"/>
              <w:spacing w:after="80" w:before="180"/>
              <w:ind w:left="80"/>
            </w:pPr>
            <w:r>
              <w:rPr>
                <w:rFonts w:ascii="Calibri" w:cs="Calibri" w:eastAsia="Calibri" w:hAnsi="Calibri"/>
                <w:b/>
                <w:bCs/>
                <w:i w:val="false"/>
                <w:iCs w:val="false"/>
                <w:color w:val="FFFFFF"/>
                <w:sz w:val="18"/>
                <w:szCs w:val="18"/>
              </w:rPr>
              <w:t xml:space="preserve">CERTIFICATIONS</w:t>
            </w:r>
          </w:p>
          <w:p>
            <w:pPr>
              <w:spacing w:after="30" w:before="0"/>
              <w:jc w:val="left"/>
            </w:pPr>
            <w:r>
              <w:rPr>
                <w:rFonts w:ascii="Calibri" w:cs="Calibri" w:eastAsia="Calibri" w:hAnsi="Calibri"/>
                <w:b w:val="false"/>
                <w:bCs w:val="false"/>
                <w:i w:val="false"/>
                <w:iCs w:val="false"/>
                <w:color w:val="1A1A1A"/>
                <w:sz w:val="18"/>
                <w:szCs w:val="18"/>
              </w:rPr>
              <w:t xml:space="preserve">Incoterms 2020 — ICC Albania (2024)</w:t>
            </w:r>
          </w:p>
          <w:p>
            <w:pPr>
              <w:spacing w:after="30" w:before="0"/>
              <w:jc w:val="left"/>
            </w:pPr>
            <w:r>
              <w:rPr>
                <w:rFonts w:ascii="Calibri" w:cs="Calibri" w:eastAsia="Calibri" w:hAnsi="Calibri"/>
                <w:b w:val="false"/>
                <w:bCs w:val="false"/>
                <w:i w:val="false"/>
                <w:iCs w:val="false"/>
                <w:color w:val="1A1A1A"/>
                <w:sz w:val="18"/>
                <w:szCs w:val="18"/>
              </w:rPr>
              <w:t xml:space="preserve">Excel Advanced — LinkedIn Learning (2023)</w:t>
            </w:r>
          </w:p>
        </w:tc>
      </w:tr>
    </w:tbl>
    <w:sectPr>
      <w:pgSz w:w="11906" w:h="16838" w:orient="portrait"/>
      <w:pgMar w:top="0" w:right="0" w:bottom="60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2026-05-29T16:31:53.467Z</dcterms:created>
  <dcterms:modified xsi:type="dcterms:W3CDTF">2026-05-29T16:31:53.487Z</dcterms:modified>
</cp:coreProperties>
</file>

<file path=docProps/custom.xml><?xml version="1.0" encoding="utf-8"?>
<Properties xmlns="http://schemas.openxmlformats.org/officeDocument/2006/custom-properties" xmlns:vt="http://schemas.openxmlformats.org/officeDocument/2006/docPropsVTypes"/>
</file>