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1F3864"/>
          <w:sz w:val="56"/>
          <w:szCs w:val="56"/>
        </w:rPr>
        <w:t xml:space="preserve">BrightPath Recruitment Ltd</w:t>
      </w:r>
    </w:p>
    <w:p>
      <w:pPr>
        <w:pBdr>
          <w:bottom w:val="single" w:color="1F3864" w:sz="12" w:space="8"/>
        </w:pBdr>
        <w:spacing w:after="600"/>
      </w:pPr>
      <w:r>
        <w:rPr>
          <w:color w:val="595959"/>
          <w:sz w:val="36"/>
          <w:szCs w:val="36"/>
        </w:rPr>
        <w:t xml:space="preserve">Information Security Policy Pack</w:t>
      </w:r>
    </w:p>
    <w:p>
      <w:pPr>
        <w:spacing w:after="120"/>
      </w:pPr>
      <w:r>
        <w:rPr>
          <w:sz w:val="24"/>
          <w:szCs w:val="24"/>
        </w:rPr>
        <w:t xml:space="preserve">This pack contains:</w:t>
      </w:r>
    </w:p>
    <w:p>
      <w:pPr>
        <w:pStyle w:val="ListParagraph"/>
        <w:numPr>
          <w:ilvl w:val="0"/>
          <w:numId w:val="2"/>
        </w:numPr>
        <w:spacing w:after="80" w:line="276"/>
      </w:pPr>
      <w:r>
        <w:t xml:space="preserve">Information Security Policy</w:t>
      </w:r>
    </w:p>
    <w:p>
      <w:pPr>
        <w:pStyle w:val="ListParagraph"/>
        <w:numPr>
          <w:ilvl w:val="0"/>
          <w:numId w:val="2"/>
        </w:numPr>
        <w:spacing w:after="80" w:line="276"/>
      </w:pPr>
      <w:r>
        <w:t xml:space="preserve">Access Control Policy</w:t>
      </w:r>
    </w:p>
    <w:p>
      <w:pPr>
        <w:pStyle w:val="ListParagraph"/>
        <w:numPr>
          <w:ilvl w:val="0"/>
          <w:numId w:val="2"/>
        </w:numPr>
        <w:spacing w:after="80" w:line="276"/>
      </w:pPr>
      <w:r>
        <w:t xml:space="preserve">Acceptable Use Policy</w:t>
      </w:r>
    </w:p>
    <w:p>
      <w:pPr>
        <w:spacing w:after="120" w:before="600"/>
      </w:pPr>
      <w:r>
        <w:rPr>
          <w:i/>
          <w:iCs/>
          <w:color w:val="595959"/>
          <w:sz w:val="22"/>
          <w:szCs w:val="22"/>
        </w:rPr>
        <w:t xml:space="preserve">Each policy maps its statements to ISO/IEC 27001:2022 Annex A controls.</w:t>
      </w:r>
    </w:p>
    <w:p>
      <w:pPr>
        <w:spacing w:before="2400"/>
      </w:pPr>
      <w:r>
        <w:rPr>
          <w:b/>
          <w:bCs/>
          <w:color w:val="C00000"/>
          <w:sz w:val="20"/>
          <w:szCs w:val="20"/>
        </w:rPr>
        <w:t xml:space="preserve">DEMONSTRATION DOCUMENT</w:t>
      </w:r>
    </w:p>
    <w:p>
      <w:r>
        <w:rPr>
          <w:color w:val="595959"/>
          <w:sz w:val="18"/>
          <w:szCs w:val="18"/>
        </w:rPr>
        <w:t xml:space="preserve">BrightPath Recruitment Ltd is a fictional organisation. This policy pack was produced as a portfolio demonstration of governance, risk and compliance documentation. It does not represent a real company, real personal data, or a real client engagement.</w:t>
      </w:r>
    </w:p>
    <w:p>
      <w:r>
        <w:br w:type="page"/>
      </w:r>
    </w:p>
    <w:p>
      <w:pPr>
        <w:pBdr>
          <w:bottom w:val="single" w:color="1F3864" w:sz="6" w:space="1"/>
        </w:pBdr>
        <w:spacing w:after="200"/>
      </w:pPr>
      <w:r>
        <w:rPr>
          <w:color w:val="595959"/>
          <w:sz w:val="16"/>
          <w:szCs w:val="16"/>
        </w:rPr>
        <w:t xml:space="preserve">BrightPath Recruitment Ltd</w:t>
      </w:r>
      <w:r>
        <w:rPr>
          <w:color w:val="595959"/>
          <w:sz w:val="16"/>
          <w:szCs w:val="16"/>
        </w:rPr>
        <w:t xml:space="preserve">   |   Information Security Policy Pack</w:t>
      </w:r>
    </w:p>
    <w:p>
      <w:pPr>
        <w:pStyle w:val="Heading1"/>
      </w:pPr>
      <w:r>
        <w:t xml:space="preserve">1. Information Security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Document owner</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Managing Director</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Approved by</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Managing Director</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Version</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1.0</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Effective date</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On approval</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Review cycle</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Annual, or after any significant security incident or change</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Classification</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Internal</w:t>
            </w:r>
          </w:p>
        </w:tc>
      </w:tr>
    </w:tbl>
    <w:p>
      <w:pPr>
        <w:spacing w:after="120"/>
      </w:pPr>
    </w:p>
    <w:p>
      <w:pPr>
        <w:pStyle w:val="Heading2"/>
      </w:pPr>
      <w:r>
        <w:t xml:space="preserve">1.1 Purpose</w:t>
      </w:r>
    </w:p>
    <w:p>
      <w:pPr>
        <w:spacing w:after="120" w:line="276"/>
      </w:pPr>
      <w:r>
        <w:t xml:space="preserve">This policy sets out how BrightPath Recruitment Ltd protects the confidentiality, integrity and availability of the information it holds — in particular the personal data of the approximately 8,000 candidates whose CVs, identity documents and salary details are held in the company's cloud CRM. It establishes management's commitment to information security and the high-level rules that all staff are expected to follow.</w:t>
      </w:r>
    </w:p>
    <w:p>
      <w:pPr>
        <w:pStyle w:val="Heading2"/>
      </w:pPr>
      <w:r>
        <w:t xml:space="preserve">1.2 Scope</w:t>
      </w:r>
    </w:p>
    <w:p>
      <w:pPr>
        <w:spacing w:after="120" w:line="276"/>
      </w:pPr>
      <w:r>
        <w:t xml:space="preserve">This policy applies to all BrightPath staff, contractors and temporary workers, and to all information assets used to conduct the company's business. This includes the Microsoft 365 environment, the cloud CRM, the AI CV-screening tool, company laptops, and any personal mobile device used to access company email or data (“bring your own device”, BYOD). It applies whether staff are working in the Reading office or remotely.</w:t>
      </w:r>
    </w:p>
    <w:p>
      <w:pPr>
        <w:pStyle w:val="Heading2"/>
      </w:pPr>
      <w:r>
        <w:t xml:space="preserve">1.3 Policy statements</w:t>
      </w:r>
    </w:p>
    <w:p>
      <w:pPr>
        <w:pStyle w:val="ListParagraph"/>
        <w:numPr>
          <w:ilvl w:val="0"/>
          <w:numId w:val="3"/>
        </w:numPr>
        <w:spacing w:after="80" w:line="276"/>
      </w:pPr>
      <w:r>
        <w:t xml:space="preserve">Candidate personal data is the company's most sensitive asset and is handled in line with the UK GDPR and the Data Protection Act 2018.</w:t>
      </w:r>
    </w:p>
    <w:p>
      <w:pPr>
        <w:pStyle w:val="ListParagraph"/>
        <w:numPr>
          <w:ilvl w:val="0"/>
          <w:numId w:val="3"/>
        </w:numPr>
        <w:spacing w:after="80" w:line="276"/>
      </w:pPr>
      <w:r>
        <w:t xml:space="preserve">Information is classified as Public, Internal or Confidential. Candidate CVs, identity documents and salary details are always Confidential.</w:t>
      </w:r>
    </w:p>
    <w:p>
      <w:pPr>
        <w:pStyle w:val="ListParagraph"/>
        <w:numPr>
          <w:ilvl w:val="0"/>
          <w:numId w:val="3"/>
        </w:numPr>
        <w:spacing w:after="80" w:line="276"/>
      </w:pPr>
      <w:r>
        <w:t xml:space="preserve">Access to systems and data is granted on a least-privilege basis: staff are given only the access they need to perform their role.</w:t>
      </w:r>
    </w:p>
    <w:p>
      <w:pPr>
        <w:pStyle w:val="ListParagraph"/>
        <w:numPr>
          <w:ilvl w:val="0"/>
          <w:numId w:val="3"/>
        </w:numPr>
        <w:spacing w:after="80" w:line="276"/>
      </w:pPr>
      <w:r>
        <w:t xml:space="preserve">Multi-factor authentication (MFA) is enforced on all Microsoft 365 and CRM accounts.</w:t>
      </w:r>
    </w:p>
    <w:p>
      <w:pPr>
        <w:pStyle w:val="ListParagraph"/>
        <w:numPr>
          <w:ilvl w:val="0"/>
          <w:numId w:val="3"/>
        </w:numPr>
        <w:spacing w:after="80" w:line="276"/>
      </w:pPr>
      <w:r>
        <w:t xml:space="preserve">All company and BYOD devices that access company data must be protected by a password or PIN, device encryption, and automatic screen lock.</w:t>
      </w:r>
    </w:p>
    <w:p>
      <w:pPr>
        <w:pStyle w:val="ListParagraph"/>
        <w:numPr>
          <w:ilvl w:val="0"/>
          <w:numId w:val="3"/>
        </w:numPr>
        <w:spacing w:after="80" w:line="276"/>
      </w:pPr>
      <w:r>
        <w:t xml:space="preserve">Staff must complete security awareness training on joining and at least annually thereafter, including how to recognise phishing.</w:t>
      </w:r>
    </w:p>
    <w:p>
      <w:pPr>
        <w:pStyle w:val="ListParagraph"/>
        <w:numPr>
          <w:ilvl w:val="0"/>
          <w:numId w:val="3"/>
        </w:numPr>
        <w:spacing w:after="80" w:line="276"/>
      </w:pPr>
      <w:r>
        <w:t xml:space="preserve">Suspected security incidents or personal data breaches must be reported to the Managing Director without delay so that any reportable breach can be assessed against the 72-hour ICO notification requirement.</w:t>
      </w:r>
    </w:p>
    <w:p>
      <w:pPr>
        <w:pStyle w:val="ListParagraph"/>
        <w:numPr>
          <w:ilvl w:val="0"/>
          <w:numId w:val="3"/>
        </w:numPr>
        <w:spacing w:after="80" w:line="276"/>
      </w:pPr>
      <w:r>
        <w:t xml:space="preserve">Third parties that process candidate data on the company's behalf must be subject to due diligence and a written data processing agreement before data is shared.</w:t>
      </w:r>
    </w:p>
    <w:p>
      <w:pPr>
        <w:pStyle w:val="ListParagraph"/>
        <w:numPr>
          <w:ilvl w:val="0"/>
          <w:numId w:val="3"/>
        </w:numPr>
        <w:spacing w:after="80" w:line="276"/>
      </w:pPr>
      <w:r>
        <w:t xml:space="preserve">Backups of business-critical data are maintained and periodically test-restored so that the company can recover from ransomware or data loss.</w:t>
      </w:r>
    </w:p>
    <w:p>
      <w:pPr>
        <w:pStyle w:val="Heading2"/>
      </w:pPr>
      <w:r>
        <w:t xml:space="preserve">1.4 Responsibilities</w:t>
      </w:r>
    </w:p>
    <w:p>
      <w:pPr>
        <w:pStyle w:val="ListParagraph"/>
        <w:numPr>
          <w:ilvl w:val="0"/>
          <w:numId w:val="2"/>
        </w:numPr>
        <w:spacing w:after="80" w:line="276"/>
      </w:pPr>
      <w:r>
        <w:t xml:space="preserve">The Managing Director owns this policy, approves exceptions, and is accountable for information security and data protection across the company.</w:t>
      </w:r>
    </w:p>
    <w:p>
      <w:pPr>
        <w:pStyle w:val="ListParagraph"/>
        <w:numPr>
          <w:ilvl w:val="0"/>
          <w:numId w:val="2"/>
        </w:numPr>
        <w:spacing w:after="80" w:line="276"/>
      </w:pPr>
      <w:r>
        <w:t xml:space="preserve">The Office Manager is responsible for day-to-day administration: account provisioning and removal, device configuration, and coordinating staff training.</w:t>
      </w:r>
    </w:p>
    <w:p>
      <w:pPr>
        <w:pStyle w:val="ListParagraph"/>
        <w:numPr>
          <w:ilvl w:val="0"/>
          <w:numId w:val="2"/>
        </w:numPr>
        <w:spacing w:after="80" w:line="276"/>
      </w:pPr>
      <w:r>
        <w:t xml:space="preserve">All staff are responsible for following this policy, protecting the data they handle, and reporting incidents promptly.</w:t>
      </w:r>
    </w:p>
    <w:p>
      <w:pPr>
        <w:pStyle w:val="ListParagraph"/>
        <w:numPr>
          <w:ilvl w:val="0"/>
          <w:numId w:val="2"/>
        </w:numPr>
        <w:spacing w:after="80" w:line="276"/>
      </w:pPr>
      <w:r>
        <w:t xml:space="preserve">The external IT provider supports technical controls (endpoint protection, backups, M365 configuration) as directed.</w:t>
      </w:r>
    </w:p>
    <w:p>
      <w:pPr>
        <w:pStyle w:val="Heading2"/>
      </w:pPr>
      <w:r>
        <w:t xml:space="preserve">1.5 Review</w:t>
      </w:r>
    </w:p>
    <w:p>
      <w:pPr>
        <w:spacing w:after="120" w:line="276"/>
      </w:pPr>
      <w:r>
        <w:t xml:space="preserve">This policy is reviewed at least annually by the Managing Director, or sooner following a significant incident, a material change to the company's systems (for example a new vendor or office move), or a relevant change in law or regulation.</w:t>
      </w:r>
    </w:p>
    <w:p>
      <w:pPr>
        <w:pStyle w:val="Heading2"/>
      </w:pPr>
      <w:r>
        <w:t xml:space="preserve">1.6 Mapping to ISO/IEC 27001:2022 Annex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sz w:val="18"/>
                <w:szCs w:val="18"/>
              </w:rPr>
              <w:t xml:space="preserve">Policy statement</w:t>
            </w:r>
          </w:p>
        </w:tc>
        <w:tc>
          <w:tcPr>
            <w:tcW w:type="dxa" w:w="18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sz w:val="18"/>
                <w:szCs w:val="18"/>
              </w:rPr>
              <w:t xml:space="preserve">ISO 27001:2022 Annex A</w:t>
            </w:r>
          </w:p>
        </w:tc>
        <w:tc>
          <w:tcPr>
            <w:tcW w:type="dxa" w:w="18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sz w:val="18"/>
                <w:szCs w:val="18"/>
              </w:rPr>
              <w:t xml:space="preserve">Control type</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Management commitment and information security policies (1.3.1, 1.4)</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A.5.1</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Organisational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Information classification (1.3.2)</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A.5.12</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Organisational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Least-privilege access (1.3.3)</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A.5.15</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Organisational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Multi-factor authentication (1.3.4)</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A.5.17</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Organisational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Endpoint and device protection (1.3.5)</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A.8.1</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Technological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Security awareness training (1.3.6)</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A.6.3</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People</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Incident and breach reporting (1.3.7)</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A.5.24</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Organisational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Supplier / third-party data processing (1.3.8)</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A.5.19</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Organisational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Backup and recovery (1.3.9)</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A.8.13</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Technological</w:t>
            </w:r>
          </w:p>
        </w:tc>
      </w:tr>
    </w:tbl>
    <w:p>
      <w:r>
        <w:br w:type="page"/>
      </w:r>
    </w:p>
    <w:p>
      <w:pPr>
        <w:pBdr>
          <w:bottom w:val="single" w:color="1F3864" w:sz="6" w:space="1"/>
        </w:pBdr>
        <w:spacing w:after="200"/>
      </w:pPr>
      <w:r>
        <w:rPr>
          <w:color w:val="595959"/>
          <w:sz w:val="16"/>
          <w:szCs w:val="16"/>
        </w:rPr>
        <w:t xml:space="preserve">BrightPath Recruitment Ltd</w:t>
      </w:r>
      <w:r>
        <w:rPr>
          <w:color w:val="595959"/>
          <w:sz w:val="16"/>
          <w:szCs w:val="16"/>
        </w:rPr>
        <w:t xml:space="preserve">   |   Information Security Policy Pack</w:t>
      </w:r>
    </w:p>
    <w:p>
      <w:pPr>
        <w:pStyle w:val="Heading1"/>
      </w:pPr>
      <w:r>
        <w:t xml:space="preserve">2. Access Control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Document owner</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Managing Director</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Approved by</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Managing Director</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Version</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1.0</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Effective date</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On approval</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Review cycle</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Annual, or after any significant security incident or change</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Classification</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Internal</w:t>
            </w:r>
          </w:p>
        </w:tc>
      </w:tr>
    </w:tbl>
    <w:p>
      <w:pPr>
        <w:spacing w:after="120"/>
      </w:pPr>
    </w:p>
    <w:p>
      <w:pPr>
        <w:pStyle w:val="Heading2"/>
      </w:pPr>
      <w:r>
        <w:t xml:space="preserve">2.1 Purpose</w:t>
      </w:r>
    </w:p>
    <w:p>
      <w:pPr>
        <w:spacing w:after="120" w:line="276"/>
      </w:pPr>
      <w:r>
        <w:t xml:space="preserve">This policy defines how access to BrightPath's systems and information is granted, reviewed and removed. Its aim is to ensure that only authorised people can reach candidate data and company systems, and that access is removed promptly when it is no longer needed — addressing in particular the risks of former staff retaining access and of over-broad permissions in the CRM.</w:t>
      </w:r>
    </w:p>
    <w:p>
      <w:pPr>
        <w:pStyle w:val="Heading2"/>
      </w:pPr>
      <w:r>
        <w:t xml:space="preserve">2.2 Scope</w:t>
      </w:r>
    </w:p>
    <w:p>
      <w:pPr>
        <w:spacing w:after="120" w:line="276"/>
      </w:pPr>
      <w:r>
        <w:t xml:space="preserve">This policy covers all user accounts and access rights to the Microsoft 365 environment, the cloud CRM, the AI CV-screening tool, and any other company system. It applies to all staff, contractors and temporary workers, and to both office-based and remote access.</w:t>
      </w:r>
    </w:p>
    <w:p>
      <w:pPr>
        <w:pStyle w:val="Heading2"/>
      </w:pPr>
      <w:r>
        <w:t xml:space="preserve">2.3 Policy statements</w:t>
      </w:r>
    </w:p>
    <w:p>
      <w:pPr>
        <w:pStyle w:val="ListParagraph"/>
        <w:numPr>
          <w:ilvl w:val="0"/>
          <w:numId w:val="4"/>
        </w:numPr>
        <w:spacing w:after="80" w:line="276"/>
      </w:pPr>
      <w:r>
        <w:t xml:space="preserve">Each user has a unique, individually named account. Shared or generic logins are not permitted.</w:t>
      </w:r>
    </w:p>
    <w:p>
      <w:pPr>
        <w:pStyle w:val="ListParagraph"/>
        <w:numPr>
          <w:ilvl w:val="0"/>
          <w:numId w:val="4"/>
        </w:numPr>
        <w:spacing w:after="80" w:line="276"/>
      </w:pPr>
      <w:r>
        <w:t xml:space="preserve">Access is granted on the principles of least privilege and need-to-know. Bulk export of candidate records from the CRM is restricted to named roles approved by the Managing Director.</w:t>
      </w:r>
    </w:p>
    <w:p>
      <w:pPr>
        <w:pStyle w:val="ListParagraph"/>
        <w:numPr>
          <w:ilvl w:val="0"/>
          <w:numId w:val="4"/>
        </w:numPr>
        <w:spacing w:after="80" w:line="276"/>
      </w:pPr>
      <w:r>
        <w:t xml:space="preserve">Multi-factor authentication is mandatory for all accounts that can reach company data.</w:t>
      </w:r>
    </w:p>
    <w:p>
      <w:pPr>
        <w:pStyle w:val="ListParagraph"/>
        <w:numPr>
          <w:ilvl w:val="0"/>
          <w:numId w:val="4"/>
        </w:numPr>
        <w:spacing w:after="80" w:line="276"/>
      </w:pPr>
      <w:r>
        <w:t xml:space="preserve">Access requests and changes are authorised by the Managing Director or Office Manager and recorded.</w:t>
      </w:r>
    </w:p>
    <w:p>
      <w:pPr>
        <w:pStyle w:val="ListParagraph"/>
        <w:numPr>
          <w:ilvl w:val="0"/>
          <w:numId w:val="4"/>
        </w:numPr>
        <w:spacing w:after="80" w:line="276"/>
      </w:pPr>
      <w:r>
        <w:t xml:space="preserve">A documented joiner / mover / leaver process governs the account lifecycle. When a person leaves, all access is revoked on their final working day.</w:t>
      </w:r>
    </w:p>
    <w:p>
      <w:pPr>
        <w:pStyle w:val="ListParagraph"/>
        <w:numPr>
          <w:ilvl w:val="0"/>
          <w:numId w:val="4"/>
        </w:numPr>
        <w:spacing w:after="80" w:line="276"/>
      </w:pPr>
      <w:r>
        <w:t xml:space="preserve">User access rights are reviewed at least quarterly to confirm they remain appropriate, and any unnecessary access is removed.</w:t>
      </w:r>
    </w:p>
    <w:p>
      <w:pPr>
        <w:pStyle w:val="ListParagraph"/>
        <w:numPr>
          <w:ilvl w:val="0"/>
          <w:numId w:val="4"/>
        </w:numPr>
        <w:spacing w:after="80" w:line="276"/>
      </w:pPr>
      <w:r>
        <w:t xml:space="preserve">Administrative (privileged) access is limited to the minimum number of people necessary and is not used for routine day-to-day work.</w:t>
      </w:r>
    </w:p>
    <w:p>
      <w:pPr>
        <w:pStyle w:val="ListParagraph"/>
        <w:numPr>
          <w:ilvl w:val="0"/>
          <w:numId w:val="4"/>
        </w:numPr>
        <w:spacing w:after="80" w:line="276"/>
      </w:pPr>
      <w:r>
        <w:t xml:space="preserve">Where available, system audit logging is enabled so that access to candidate data can be monitored and investigated.</w:t>
      </w:r>
    </w:p>
    <w:p>
      <w:pPr>
        <w:pStyle w:val="Heading2"/>
      </w:pPr>
      <w:r>
        <w:t xml:space="preserve">2.4 Responsibilities</w:t>
      </w:r>
    </w:p>
    <w:p>
      <w:pPr>
        <w:pStyle w:val="ListParagraph"/>
        <w:numPr>
          <w:ilvl w:val="0"/>
          <w:numId w:val="2"/>
        </w:numPr>
        <w:spacing w:after="80" w:line="276"/>
      </w:pPr>
      <w:r>
        <w:t xml:space="preserve">The Managing Director approves privileged access and access to bulk candidate data, and owns this policy.</w:t>
      </w:r>
    </w:p>
    <w:p>
      <w:pPr>
        <w:pStyle w:val="ListParagraph"/>
        <w:numPr>
          <w:ilvl w:val="0"/>
          <w:numId w:val="2"/>
        </w:numPr>
        <w:spacing w:after="80" w:line="276"/>
      </w:pPr>
      <w:r>
        <w:t xml:space="preserve">The Office Manager administers accounts, applies the joiner/mover/leaver process, and conducts the quarterly access review.</w:t>
      </w:r>
    </w:p>
    <w:p>
      <w:pPr>
        <w:pStyle w:val="ListParagraph"/>
        <w:numPr>
          <w:ilvl w:val="0"/>
          <w:numId w:val="2"/>
        </w:numPr>
        <w:spacing w:after="80" w:line="276"/>
      </w:pPr>
      <w:r>
        <w:t xml:space="preserve">Line managers notify the Office Manager promptly of any joiner, role change or leaver.</w:t>
      </w:r>
    </w:p>
    <w:p>
      <w:pPr>
        <w:pStyle w:val="ListParagraph"/>
        <w:numPr>
          <w:ilvl w:val="0"/>
          <w:numId w:val="2"/>
        </w:numPr>
        <w:spacing w:after="80" w:line="276"/>
      </w:pPr>
      <w:r>
        <w:t xml:space="preserve">All staff keep their credentials confidential and must not share accounts or passwords.</w:t>
      </w:r>
    </w:p>
    <w:p>
      <w:pPr>
        <w:pStyle w:val="Heading2"/>
      </w:pPr>
      <w:r>
        <w:t xml:space="preserve">2.5 Review</w:t>
      </w:r>
    </w:p>
    <w:p>
      <w:pPr>
        <w:spacing w:after="120" w:line="276"/>
      </w:pPr>
      <w:r>
        <w:t xml:space="preserve">This policy is reviewed at least annually by the Managing Director, or sooner following an access-related incident or a significant change to the company's systems.</w:t>
      </w:r>
    </w:p>
    <w:p>
      <w:pPr>
        <w:pStyle w:val="Heading2"/>
      </w:pPr>
      <w:r>
        <w:t xml:space="preserve">2.6 Mapping to ISO/IEC 27001:2022 Annex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sz w:val="18"/>
                <w:szCs w:val="18"/>
              </w:rPr>
              <w:t xml:space="preserve">Policy statement</w:t>
            </w:r>
          </w:p>
        </w:tc>
        <w:tc>
          <w:tcPr>
            <w:tcW w:type="dxa" w:w="18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sz w:val="18"/>
                <w:szCs w:val="18"/>
              </w:rPr>
              <w:t xml:space="preserve">ISO 27001:2022 Annex A</w:t>
            </w:r>
          </w:p>
        </w:tc>
        <w:tc>
          <w:tcPr>
            <w:tcW w:type="dxa" w:w="18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sz w:val="18"/>
                <w:szCs w:val="18"/>
              </w:rPr>
              <w:t xml:space="preserve">Control type</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Access control rules and least privilege (2.3.1, 2.3.2)</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A.5.15</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Organisational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Identity management — unique accounts (2.3.1)</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A.5.16</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Organisational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Authentication / MFA (2.3.3)</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A.5.17</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Organisational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Provisioning and de-provisioning of access (2.3.4, 2.3.5)</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A.5.18</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Organisational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Quarterly access review (2.3.6)</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A.5.18</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Organisational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Privileged access management (2.3.7)</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A.8.2</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Technological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Logging and monitoring of access (2.3.8)</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A.8.15</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Technological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Information security in terminations / role change (2.4)</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A.6.5</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People</w:t>
            </w:r>
          </w:p>
        </w:tc>
      </w:tr>
    </w:tbl>
    <w:p>
      <w:r>
        <w:br w:type="page"/>
      </w:r>
    </w:p>
    <w:p>
      <w:pPr>
        <w:pBdr>
          <w:bottom w:val="single" w:color="1F3864" w:sz="6" w:space="1"/>
        </w:pBdr>
        <w:spacing w:after="200"/>
      </w:pPr>
      <w:r>
        <w:rPr>
          <w:color w:val="595959"/>
          <w:sz w:val="16"/>
          <w:szCs w:val="16"/>
        </w:rPr>
        <w:t xml:space="preserve">BrightPath Recruitment Ltd</w:t>
      </w:r>
      <w:r>
        <w:rPr>
          <w:color w:val="595959"/>
          <w:sz w:val="16"/>
          <w:szCs w:val="16"/>
        </w:rPr>
        <w:t xml:space="preserve">   |   Information Security Policy Pack</w:t>
      </w:r>
    </w:p>
    <w:p>
      <w:pPr>
        <w:pStyle w:val="Heading1"/>
      </w:pPr>
      <w:r>
        <w:t xml:space="preserve">3. Acceptable Use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Document owner</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Managing Director</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Approved by</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Managing Director</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Version</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1.0</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Effective date</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On approval</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Review cycle</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Annual, or after any significant security incident or change</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Classification</w:t>
            </w:r>
          </w:p>
        </w:tc>
        <w:tc>
          <w:tcPr>
            <w:tcW w:type="dxa" w:w="69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Internal</w:t>
            </w:r>
          </w:p>
        </w:tc>
      </w:tr>
    </w:tbl>
    <w:p>
      <w:pPr>
        <w:spacing w:after="120"/>
      </w:pPr>
    </w:p>
    <w:p>
      <w:pPr>
        <w:pStyle w:val="Heading2"/>
      </w:pPr>
      <w:r>
        <w:t xml:space="preserve">3.1 Purpose</w:t>
      </w:r>
    </w:p>
    <w:p>
      <w:pPr>
        <w:spacing w:after="120" w:line="276"/>
      </w:pPr>
      <w:r>
        <w:t xml:space="preserve">This policy sets out how staff may and may not use BrightPath's systems, devices and data, including company email, the CRM and personal devices used for work. Its aim is to protect candidate data from accidental loss or misuse and to set clear expectations for responsible behaviour — addressing in particular the risk of candidate data leaving the company through personal email or messaging apps.</w:t>
      </w:r>
    </w:p>
    <w:p>
      <w:pPr>
        <w:pStyle w:val="Heading2"/>
      </w:pPr>
      <w:r>
        <w:t xml:space="preserve">3.2 Scope</w:t>
      </w:r>
    </w:p>
    <w:p>
      <w:pPr>
        <w:spacing w:after="120" w:line="276"/>
      </w:pPr>
      <w:r>
        <w:t xml:space="preserve">This policy applies to all staff, contractors and temporary workers who use BrightPath's information, systems or accounts. It covers company laptops, the Microsoft 365 environment, the cloud CRM, the AI CV-screening tool, and any personal device used to access company email or data.</w:t>
      </w:r>
    </w:p>
    <w:p>
      <w:pPr>
        <w:pStyle w:val="Heading2"/>
      </w:pPr>
      <w:r>
        <w:t xml:space="preserve">3.3 Policy statements</w:t>
      </w:r>
    </w:p>
    <w:p>
      <w:pPr>
        <w:pStyle w:val="ListParagraph"/>
        <w:numPr>
          <w:ilvl w:val="0"/>
          <w:numId w:val="5"/>
        </w:numPr>
        <w:spacing w:after="80" w:line="276"/>
      </w:pPr>
      <w:r>
        <w:t xml:space="preserve">Company systems and accounts are provided for legitimate business purposes. Limited reasonable personal use of email is permitted provided it does not interfere with work or breach this policy.</w:t>
      </w:r>
    </w:p>
    <w:p>
      <w:pPr>
        <w:pStyle w:val="ListParagraph"/>
        <w:numPr>
          <w:ilvl w:val="0"/>
          <w:numId w:val="5"/>
        </w:numPr>
        <w:spacing w:after="80" w:line="276"/>
      </w:pPr>
      <w:r>
        <w:t xml:space="preserve">Candidate data must only be stored and shared within approved company systems. Staff must not send candidate CVs, identity documents or salary details to personal email accounts or via personal messaging apps such as WhatsApp.</w:t>
      </w:r>
    </w:p>
    <w:p>
      <w:pPr>
        <w:pStyle w:val="ListParagraph"/>
        <w:numPr>
          <w:ilvl w:val="0"/>
          <w:numId w:val="5"/>
        </w:numPr>
        <w:spacing w:after="80" w:line="276"/>
      </w:pPr>
      <w:r>
        <w:t xml:space="preserve">Staff must take care with email: verify unexpected requests, do not click suspicious links, and report suspected phishing to the Office Manager.</w:t>
      </w:r>
    </w:p>
    <w:p>
      <w:pPr>
        <w:pStyle w:val="ListParagraph"/>
        <w:numPr>
          <w:ilvl w:val="0"/>
          <w:numId w:val="5"/>
        </w:numPr>
        <w:spacing w:after="80" w:line="276"/>
      </w:pPr>
      <w:r>
        <w:t xml:space="preserve">Personal devices used for work (BYOD) must have a screen lock and device encryption enabled, and must be enrolled in the company's mobile management so that work data can be protected and, if necessary, remotely removed.</w:t>
      </w:r>
    </w:p>
    <w:p>
      <w:pPr>
        <w:pStyle w:val="ListParagraph"/>
        <w:numPr>
          <w:ilvl w:val="0"/>
          <w:numId w:val="5"/>
        </w:numPr>
        <w:spacing w:after="80" w:line="276"/>
      </w:pPr>
      <w:r>
        <w:t xml:space="preserve">Devices must not be left unlocked and unattended. Screens lock automatically after a short period of inactivity.</w:t>
      </w:r>
    </w:p>
    <w:p>
      <w:pPr>
        <w:pStyle w:val="ListParagraph"/>
        <w:numPr>
          <w:ilvl w:val="0"/>
          <w:numId w:val="5"/>
        </w:numPr>
        <w:spacing w:after="80" w:line="276"/>
      </w:pPr>
      <w:r>
        <w:t xml:space="preserve">Staff must use strong, unique passwords and must not reuse company passwords on other services or share them with anyone.</w:t>
      </w:r>
    </w:p>
    <w:p>
      <w:pPr>
        <w:pStyle w:val="ListParagraph"/>
        <w:numPr>
          <w:ilvl w:val="0"/>
          <w:numId w:val="5"/>
        </w:numPr>
        <w:spacing w:after="80" w:line="276"/>
      </w:pPr>
      <w:r>
        <w:t xml:space="preserve">Outputs of the AI CV-screening tool must not be the sole basis for rejecting a candidate; a member of staff reviews automated decisions before they take effect.</w:t>
      </w:r>
    </w:p>
    <w:p>
      <w:pPr>
        <w:pStyle w:val="ListParagraph"/>
        <w:numPr>
          <w:ilvl w:val="0"/>
          <w:numId w:val="5"/>
        </w:numPr>
        <w:spacing w:after="80" w:line="276"/>
      </w:pPr>
      <w:r>
        <w:t xml:space="preserve">Software must not be installed on company devices without approval, and company data must not be copied to unapproved removable media or cloud services.</w:t>
      </w:r>
    </w:p>
    <w:p>
      <w:pPr>
        <w:pStyle w:val="Heading2"/>
      </w:pPr>
      <w:r>
        <w:t xml:space="preserve">3.4 Responsibilities</w:t>
      </w:r>
    </w:p>
    <w:p>
      <w:pPr>
        <w:pStyle w:val="ListParagraph"/>
        <w:numPr>
          <w:ilvl w:val="0"/>
          <w:numId w:val="2"/>
        </w:numPr>
        <w:spacing w:after="80" w:line="276"/>
      </w:pPr>
      <w:r>
        <w:t xml:space="preserve">The Office Manager communicates this policy to staff, handles phishing reports, and administers device enrolment.</w:t>
      </w:r>
    </w:p>
    <w:p>
      <w:pPr>
        <w:pStyle w:val="ListParagraph"/>
        <w:numPr>
          <w:ilvl w:val="0"/>
          <w:numId w:val="2"/>
        </w:numPr>
        <w:spacing w:after="80" w:line="276"/>
      </w:pPr>
      <w:r>
        <w:t xml:space="preserve">All staff read, understand and comply with this policy, and report anything that looks like a security problem.</w:t>
      </w:r>
    </w:p>
    <w:p>
      <w:pPr>
        <w:pStyle w:val="ListParagraph"/>
        <w:numPr>
          <w:ilvl w:val="0"/>
          <w:numId w:val="2"/>
        </w:numPr>
        <w:spacing w:after="80" w:line="276"/>
      </w:pPr>
      <w:r>
        <w:t xml:space="preserve">The Managing Director owns this policy and decides on any disciplinary consequences of serious or repeated breaches.</w:t>
      </w:r>
    </w:p>
    <w:p>
      <w:pPr>
        <w:pStyle w:val="Heading2"/>
      </w:pPr>
      <w:r>
        <w:t xml:space="preserve">3.5 Review</w:t>
      </w:r>
    </w:p>
    <w:p>
      <w:pPr>
        <w:spacing w:after="120" w:line="276"/>
      </w:pPr>
      <w:r>
        <w:t xml:space="preserve">This policy is reviewed at least annually by the Managing Director, or sooner following a relevant incident or a significant change to the company's systems or ways of working.</w:t>
      </w:r>
    </w:p>
    <w:p>
      <w:pPr>
        <w:pStyle w:val="Heading2"/>
      </w:pPr>
      <w:r>
        <w:t xml:space="preserve">3.6 Mapping to ISO/IEC 27001:2022 Annex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sz w:val="18"/>
                <w:szCs w:val="18"/>
              </w:rPr>
              <w:t xml:space="preserve">Policy statement</w:t>
            </w:r>
          </w:p>
        </w:tc>
        <w:tc>
          <w:tcPr>
            <w:tcW w:type="dxa" w:w="18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sz w:val="18"/>
                <w:szCs w:val="18"/>
              </w:rPr>
              <w:t xml:space="preserve">ISO 27001:2022 Annex A</w:t>
            </w:r>
          </w:p>
        </w:tc>
        <w:tc>
          <w:tcPr>
            <w:tcW w:type="dxa" w:w="18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r>
              <w:rPr>
                <w:b/>
                <w:bCs/>
                <w:color w:val="FFFFFF"/>
                <w:sz w:val="18"/>
                <w:szCs w:val="18"/>
              </w:rPr>
              <w:t xml:space="preserve">Control type</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Acceptable use of information and assets (3.3.1, 3.3.8)</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A.5.10</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Organisational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Controlled sharing / data leakage prevention (3.3.2)</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A.8.12</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Technological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Awareness of phishing and email threats (3.3.3)</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A.6.3</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People</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Mobile / BYOD device protection (3.3.4)</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A.8.1</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Technological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Clear screen and unattended devices (3.3.5)</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A.7.7</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Physical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Authentication and password practice (3.3.6)</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A.5.17</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Organisational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Human oversight of automated decisions (3.3.7)</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A.5.34</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Organisational</w:t>
            </w:r>
          </w:p>
        </w:tc>
      </w:tr>
      <w:tr>
        <w:tc>
          <w:tcPr>
            <w:tcW w:type="dxa" w:w="57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Restriction of software installation (3.3.8)</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bCs/>
                <w:sz w:val="18"/>
                <w:szCs w:val="18"/>
              </w:rPr>
              <w:t xml:space="preserve">A.8.19</w:t>
            </w:r>
          </w:p>
        </w:tc>
        <w:tc>
          <w:tcPr>
            <w:tcW w:type="dxa" w:w="18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sz w:val="18"/>
                <w:szCs w:val="18"/>
              </w:rPr>
              <w:t xml:space="preserve">Technological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2026-06-11T22:10:35.857Z</dcterms:created>
  <dcterms:modified xsi:type="dcterms:W3CDTF">2026-06-11T22:10:35.858Z</dcterms:modified>
</cp:coreProperties>
</file>

<file path=docProps/custom.xml><?xml version="1.0" encoding="utf-8"?>
<Properties xmlns="http://schemas.openxmlformats.org/officeDocument/2006/custom-properties" xmlns:vt="http://schemas.openxmlformats.org/officeDocument/2006/docPropsVTypes"/>
</file>