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1F3864"/>
          <w:sz w:val="48"/>
          <w:szCs w:val="48"/>
        </w:rPr>
        <w:t xml:space="preserve">Data Protection Impact Assessment</w:t>
      </w:r>
    </w:p>
    <w:p>
      <w:pPr>
        <w:pBdr>
          <w:bottom w:val="single" w:color="1F3864" w:sz="12" w:space="8"/>
        </w:pBdr>
        <w:spacing w:after="400"/>
      </w:pPr>
      <w:r>
        <w:rPr>
          <w:color w:val="595959"/>
          <w:sz w:val="32"/>
          <w:szCs w:val="32"/>
        </w:rPr>
        <w:t xml:space="preserve">AI-assisted CV screening tool</w:t>
      </w:r>
    </w:p>
    <w:p>
      <w:r>
        <w:rPr>
          <w:b/>
          <w:bCs/>
          <w:sz w:val="26"/>
          <w:szCs w:val="26"/>
        </w:rPr>
        <w:t xml:space="preserve">BrightPath Recruitment Ltd</w:t>
      </w:r>
    </w:p>
    <w:p>
      <w:pPr>
        <w:spacing w:after="600"/>
      </w:pPr>
      <w:r>
        <w:rPr>
          <w:i/>
          <w:iCs/>
          <w:color w:val="595959"/>
          <w:sz w:val="20"/>
          <w:szCs w:val="20"/>
        </w:rPr>
        <w:t xml:space="preserve">Prepared using the structure of the ICO’s Data Protection Impact Assessment template.</w:t>
      </w:r>
    </w:p>
    <w:p>
      <w:pPr>
        <w:spacing w:before="1800"/>
      </w:pPr>
      <w:r>
        <w:rPr>
          <w:b/>
          <w:bCs/>
          <w:color w:val="C00000"/>
          <w:sz w:val="20"/>
          <w:szCs w:val="20"/>
        </w:rPr>
        <w:t xml:space="preserve">DEMONSTRATION DOCUMENT</w:t>
      </w:r>
    </w:p>
    <w:p>
      <w:r>
        <w:rPr>
          <w:color w:val="595959"/>
          <w:sz w:val="18"/>
          <w:szCs w:val="18"/>
        </w:rPr>
        <w:t xml:space="preserve">BrightPath Recruitment Ltd is a fictional organisation. This DPIA was produced as a portfolio demonstration of data protection and AI governance documentation. It does not represent a real company, real personal data, or a real processing operation, and is not legal advice.</w:t>
      </w:r>
    </w:p>
    <w:p>
      <w:r>
        <w:br w:type="page"/>
      </w:r>
    </w:p>
    <w:p>
      <w:pPr>
        <w:pStyle w:val="Heading1"/>
      </w:pPr>
      <w:r>
        <w:t xml:space="preserve">1. Identifying the need for a DPIA</w:t>
      </w:r>
    </w:p>
    <w:p>
      <w:pPr>
        <w:spacing w:after="120" w:line="276"/>
      </w:pPr>
      <w:r>
        <w:t xml:space="preserve">BrightPath Recruitment Ltd has adopted a third-party artificial-intelligence tool that automatically screens and ranks candidate CVs to shortlist applicants for recruiter review. A DPIA is required because the processing is likely to result in a high risk to individuals. Under UK GDPR Article 35 and the ICO’s guidance, a DPIA is mandatory where processing involves:</w:t>
      </w:r>
    </w:p>
    <w:p>
      <w:pPr>
        <w:pStyle w:val="ListParagraph"/>
        <w:numPr>
          <w:ilvl w:val="0"/>
          <w:numId w:val="2"/>
        </w:numPr>
        <w:spacing w:after="80" w:line="276"/>
      </w:pPr>
      <w:r>
        <w:t xml:space="preserve">systematic and extensive evaluation of personal aspects based on automated processing, including profiling, on which decisions are based that significantly affect individuals;</w:t>
      </w:r>
    </w:p>
    <w:p>
      <w:pPr>
        <w:pStyle w:val="ListParagraph"/>
        <w:numPr>
          <w:ilvl w:val="0"/>
          <w:numId w:val="2"/>
        </w:numPr>
        <w:spacing w:after="80" w:line="276"/>
      </w:pPr>
      <w:r>
        <w:t xml:space="preserve">the use of innovative technology (an AI/machine-learning system); and</w:t>
      </w:r>
    </w:p>
    <w:p>
      <w:pPr>
        <w:pStyle w:val="ListParagraph"/>
        <w:numPr>
          <w:ilvl w:val="0"/>
          <w:numId w:val="2"/>
        </w:numPr>
        <w:spacing w:after="80" w:line="276"/>
      </w:pPr>
      <w:r>
        <w:t xml:space="preserve">processing of personal data on a large scale (the CVs and identity data of approximately 8,000 candidates).</w:t>
      </w:r>
    </w:p>
    <w:p>
      <w:pPr>
        <w:spacing w:after="120" w:line="276"/>
      </w:pPr>
      <w:r>
        <w:t xml:space="preserve">In addition, the EU AI Act classifies AI systems used in recruitment and candidate selection as high-risk. While BrightPath operates in the UK, this classification reflects the broad regulatory consensus that recruitment AI carries elevated risk to fundamental rights, and it informs the level of scrutiny applied in this assessment. Completing this DPIA before relying further on the tool is therefore both a legal requirement and good governance.</w:t>
      </w:r>
    </w:p>
    <w:p>
      <w:r>
        <w:br w:type="page"/>
      </w:r>
    </w:p>
    <w:p>
      <w:pPr>
        <w:pStyle w:val="Heading1"/>
      </w:pPr>
      <w:r>
        <w:t xml:space="preserve">2. Describing the processing</w:t>
      </w:r>
    </w:p>
    <w:p>
      <w:pPr>
        <w:pStyle w:val="Heading2"/>
      </w:pPr>
      <w:r>
        <w:t xml:space="preserve">2.1 Nature of the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What happens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40"/>
            </w:pPr>
            <w:r>
              <w:rPr>
                <w:sz w:val="18"/>
                <w:szCs w:val="18"/>
              </w:rPr>
              <w:t xml:space="preserve">Candidate CVs are uploaded to the cloud CRM and passed to a third-party AI screening tool. The tool parses each CV, extracts attributes (skills, experience, education, employment history) and produces a relevance score and ranking against a job specification. Recruiters use the ranking to decide whom to progress.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Data collected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40"/>
            </w:pPr>
            <w:r>
              <w:rPr>
                <w:sz w:val="18"/>
                <w:szCs w:val="18"/>
              </w:rPr>
              <w:t xml:space="preserve">Candidate name and contact details; employment and education history; skills; and — where present in CVs or attachments — identity documents (passport scans) and salary expectations.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How collected</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40"/>
            </w:pPr>
            <w:r>
              <w:rPr>
                <w:sz w:val="18"/>
                <w:szCs w:val="18"/>
              </w:rPr>
              <w:t xml:space="preserve">Submitted by candidates or sourced by recruiters; held in the cloud CRM; transmitted to the AI vendor for processing.</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Who has access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40"/>
            </w:pPr>
            <w:r>
              <w:rPr>
                <w:sz w:val="18"/>
                <w:szCs w:val="18"/>
              </w:rPr>
              <w:t xml:space="preserve">BrightPath recruiters and the Office Manager; the third-party AI vendor as a processor; the CRM vendor as a processor.</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Retention</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40"/>
            </w:pPr>
            <w:r>
              <w:rPr>
                <w:sz w:val="18"/>
                <w:szCs w:val="18"/>
              </w:rPr>
              <w:t xml:space="preserve">Currently indefinite — no retention schedule exists. This is itself a risk addressed below.</w:t>
            </w:r>
          </w:p>
        </w:tc>
      </w:tr>
    </w:tbl>
    <w:p>
      <w:pPr>
        <w:pStyle w:val="Heading2"/>
      </w:pPr>
      <w:r>
        <w:t xml:space="preserve">2.2 Scope of the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Volume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40"/>
            </w:pPr>
            <w:r>
              <w:rPr>
                <w:sz w:val="18"/>
                <w:szCs w:val="18"/>
              </w:rPr>
              <w:t xml:space="preserve">Approximately 8,000 candidate records; ongoing as new applications arrive.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Data subjects</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40"/>
            </w:pPr>
            <w:r>
              <w:rPr>
                <w:sz w:val="18"/>
                <w:szCs w:val="18"/>
              </w:rPr>
              <w:t xml:space="preserve">Job candidates, including unsuccessful and rejected applicants who never become BrightPath clients or placements.</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Special category data</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40"/>
            </w:pPr>
            <w:r>
              <w:rPr>
                <w:sz w:val="18"/>
                <w:szCs w:val="18"/>
              </w:rPr>
              <w:t xml:space="preserve">Not intentionally processed, but CVs frequently reveal data from which protected characteristics can be inferred (age, ethnicity, disability, gender), creating a discrimination risk in automated scoring.</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Geographic scope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40"/>
            </w:pPr>
            <w:r>
              <w:rPr>
                <w:sz w:val="18"/>
                <w:szCs w:val="18"/>
              </w:rPr>
              <w:t xml:space="preserve">UK-based agency; candidates primarily UK-based.</w:t>
            </w:r>
          </w:p>
        </w:tc>
      </w:tr>
    </w:tbl>
    <w:p>
      <w:pPr>
        <w:pStyle w:val="Heading2"/>
      </w:pPr>
      <w:r>
        <w:t xml:space="preserve">2.3 Context of the processing</w:t>
      </w:r>
    </w:p>
    <w:p>
      <w:pPr>
        <w:spacing w:after="120" w:line="276"/>
      </w:pPr>
      <w:r>
        <w:t xml:space="preserve">BrightPath is a 25-person agency with no dedicated security or data protection team. The AI tool was procured on the basis of vendor marketing, without bias testing or documentation obtained, and without prior assessment of its lawful basis or its effect on candidates. Candidates have a reasonable expectation that their application will be assessed fairly and that a human, not an opaque algorithm, makes the decision to reject them.</w:t>
      </w:r>
    </w:p>
    <w:p>
      <w:pPr>
        <w:pStyle w:val="Heading2"/>
      </w:pPr>
      <w:r>
        <w:t xml:space="preserve">2.4 Purposes of the processing</w:t>
      </w:r>
    </w:p>
    <w:p>
      <w:pPr>
        <w:spacing w:after="120" w:line="276"/>
      </w:pPr>
      <w:r>
        <w:t xml:space="preserve">To shortlist candidates more quickly and reduce recruiter time spent on manual CV review. The intended benefit to BrightPath is operational efficiency; the intended benefit to candidates is faster response. The legitimate-interest benefit must be weighed against the risks to candidates set out in section 5.</w:t>
      </w:r>
    </w:p>
    <w:p>
      <w:r>
        <w:br w:type="page"/>
      </w:r>
    </w:p>
    <w:p>
      <w:pPr>
        <w:pStyle w:val="Heading1"/>
      </w:pPr>
      <w:r>
        <w:t xml:space="preserve">3. Consultation process</w:t>
      </w:r>
    </w:p>
    <w:p>
      <w:pPr>
        <w:spacing w:after="120" w:line="276"/>
      </w:pPr>
      <w:r>
        <w:t xml:space="preserve">In a live engagement this DPIA would draw on consultation with the parties below. For this demonstration, the intended consultation is described rather than performed.</w:t>
      </w:r>
    </w:p>
    <w:p>
      <w:pPr>
        <w:pStyle w:val="ListParagraph"/>
        <w:numPr>
          <w:ilvl w:val="0"/>
          <w:numId w:val="2"/>
        </w:numPr>
        <w:spacing w:after="80" w:line="276"/>
      </w:pPr>
      <w:r>
        <w:t xml:space="preserve">Recruiters and the Office Manager — to understand how the tool’s output is used in practice and whether rejections are reviewed by a person.</w:t>
      </w:r>
    </w:p>
    <w:p>
      <w:pPr>
        <w:pStyle w:val="ListParagraph"/>
        <w:numPr>
          <w:ilvl w:val="0"/>
          <w:numId w:val="2"/>
        </w:numPr>
        <w:spacing w:after="80" w:line="276"/>
      </w:pPr>
      <w:r>
        <w:t xml:space="preserve">The AI vendor — to obtain model documentation, the data used to train and test the model, and any bias-testing or fairness evaluation.</w:t>
      </w:r>
    </w:p>
    <w:p>
      <w:pPr>
        <w:pStyle w:val="ListParagraph"/>
        <w:numPr>
          <w:ilvl w:val="0"/>
          <w:numId w:val="2"/>
        </w:numPr>
        <w:spacing w:after="80" w:line="276"/>
      </w:pPr>
      <w:r>
        <w:t xml:space="preserve">Candidates — through a clear privacy notice explaining that AI assists screening, and a route to request human review or object.</w:t>
      </w:r>
    </w:p>
    <w:p>
      <w:pPr>
        <w:pStyle w:val="ListParagraph"/>
        <w:numPr>
          <w:ilvl w:val="0"/>
          <w:numId w:val="2"/>
        </w:numPr>
        <w:spacing w:after="80" w:line="276"/>
      </w:pPr>
      <w:r>
        <w:t xml:space="preserve">Where residual high risk could not be reduced, the ICO would be consulted prior to processing under UK GDPR Article 36.</w:t>
      </w:r>
    </w:p>
    <w:p>
      <w:r>
        <w:br w:type="page"/>
      </w:r>
    </w:p>
    <w:p>
      <w:pPr>
        <w:pStyle w:val="Heading1"/>
      </w:pPr>
      <w:r>
        <w:t xml:space="preserve">4. Necessity and proportionality</w:t>
      </w:r>
    </w:p>
    <w:p>
      <w:pPr>
        <w:pStyle w:val="Heading2"/>
      </w:pPr>
      <w:r>
        <w:t xml:space="preserve">4.1 Lawful basis</w:t>
      </w:r>
    </w:p>
    <w:p>
      <w:pPr>
        <w:spacing w:after="120" w:line="276"/>
      </w:pPr>
      <w:r>
        <w:t xml:space="preserve">The most appropriate lawful basis is legitimate interests (UK GDPR Article 6(1)(f)) — BrightPath’s interest in efficient recruitment — subject to a legitimate interests assessment that confirms the processing is necessary and that candidates’ rights do not override it. Consent is not appropriate as a basis here because candidates are not in a position to freely refuse screening and still be considered. Any inferred special-category data would require an Article 9 condition; the safer course is to prevent such inference influencing decisions.</w:t>
      </w:r>
    </w:p>
    <w:p>
      <w:pPr>
        <w:pStyle w:val="Heading2"/>
      </w:pPr>
      <w:r>
        <w:t xml:space="preserve">4.2 Article 22 — automated decision-making</w:t>
      </w:r>
    </w:p>
    <w:p>
      <w:pPr>
        <w:spacing w:after="120" w:line="276"/>
      </w:pPr>
      <w:r>
        <w:t xml:space="preserve">UK GDPR Article 22 restricts decisions based solely on automated processing that produce legal or similarly significant effects. Rejection from a job is a significant effect. The tool must therefore not be the sole basis for rejecting a candidate: a recruiter must review and be able to overturn automated outcomes, and candidates must be told that automated processing is used, be able to obtain human intervention, and contest the outcome.</w:t>
      </w:r>
    </w:p>
    <w:p>
      <w:pPr>
        <w:pStyle w:val="Heading2"/>
      </w:pPr>
      <w:r>
        <w:t xml:space="preserve">4.3 Necessity and data minimisation</w:t>
      </w:r>
    </w:p>
    <w:p>
      <w:pPr>
        <w:spacing w:after="120" w:line="276"/>
      </w:pPr>
      <w:r>
        <w:t xml:space="preserve">Screening can be achieved without passing identity documents (passport scans) to the AI vendor; these are not necessary for relevance scoring and should be withheld from the tool. Processing is proportionate only if limited to the data needed to assess suitability, retained for a defined period, and supported by transparency to candidates.</w:t>
      </w:r>
    </w:p>
    <w:p>
      <w:r>
        <w:br w:type="page"/>
      </w:r>
    </w:p>
    <w:p>
      <w:pPr>
        <w:pStyle w:val="Heading1"/>
      </w:pPr>
      <w:r>
        <w:t xml:space="preserve">5. Identifying and assessing risks to individuals</w:t>
      </w:r>
    </w:p>
    <w:p>
      <w:pPr>
        <w:spacing w:after="120" w:line="276"/>
      </w:pPr>
      <w:r>
        <w:t xml:space="preserve">Inherent risk is the level of risk before additional measures are applied, rated High / Medium / Low by reference to the likelihood and severity of harm to individuals.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3600"/>
        <w:gridCol w:w="1100"/>
        <w:gridCol w:w="4040"/>
      </w:tblGrid>
      <w:tr>
        <w:trPr>
          <w:tblHeader/>
        </w:trPr>
        <w:tc>
          <w:tcPr>
            <w:tcW w:type="dxa" w:w="62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7"/>
                <w:szCs w:val="17"/>
              </w:rPr>
              <w:t xml:space="preserve">Ref</w:t>
            </w:r>
          </w:p>
        </w:tc>
        <w:tc>
          <w:tcPr>
            <w:tcW w:type="dxa" w:w="36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7"/>
                <w:szCs w:val="17"/>
              </w:rPr>
              <w:t xml:space="preserve">Risk to individuals</w:t>
            </w:r>
          </w:p>
        </w:tc>
        <w:tc>
          <w:tcPr>
            <w:tcW w:type="dxa" w:w="110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7"/>
                <w:szCs w:val="17"/>
              </w:rPr>
              <w:t xml:space="preserve">Inherent risk</w:t>
            </w:r>
          </w:p>
        </w:tc>
        <w:tc>
          <w:tcPr>
            <w:tcW w:type="dxa" w:w="4040"/>
            <w:tcBorders>
              <w:top w:val="single" w:color="BFBFBF" w:sz="1"/>
              <w:left w:val="single" w:color="BFBFBF" w:sz="1"/>
              <w:bottom w:val="single" w:color="BFBFBF" w:sz="1"/>
              <w:right w:val="single" w:color="BFBFBF" w:sz="1"/>
            </w:tcBorders>
            <w:shd w:fill="1F3864" w:val="clear"/>
            <w:tcMar>
              <w:top w:type="dxa" w:w="60"/>
              <w:left w:type="dxa" w:w="100"/>
              <w:bottom w:type="dxa" w:w="60"/>
              <w:right w:type="dxa" w:w="100"/>
            </w:tcMar>
            <w:vAlign w:val="center"/>
          </w:tcPr>
          <w:p>
            <w:r>
              <w:rPr>
                <w:b/>
                <w:bCs/>
                <w:color w:val="FFFFFF"/>
                <w:sz w:val="17"/>
                <w:szCs w:val="17"/>
              </w:rPr>
              <w:t xml:space="preserve">Measures to reduce or eliminate the risk</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color w:val="1F3864"/>
                <w:sz w:val="17"/>
                <w:szCs w:val="17"/>
              </w:rPr>
              <w:t xml:space="preserve">R1</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7"/>
                <w:szCs w:val="17"/>
              </w:rPr>
              <w:t xml:space="preserve">Discrimination: the model scores candidates in a way that disadvantages protected groups (e.g. age, ethnicity, gender, disability) inferred from CV content, breaching the Equality Act 2010 and the fairness principle.</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color w:val="C00000"/>
                <w:sz w:val="17"/>
                <w:szCs w:val="17"/>
              </w:rPr>
              <w:t xml:space="preserve">High</w:t>
            </w:r>
          </w:p>
        </w:tc>
        <w:tc>
          <w:tcPr>
            <w:tcW w:type="dxa" w:w="404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7"/>
                <w:szCs w:val="17"/>
              </w:rPr>
              <w:t xml:space="preserve">Obtain vendor bias-testing and fairness documentation; mandate human review of all rejections; monitor shortlisting outcomes for adverse impact; do not feed fields that proxy protected characteristics.</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color w:val="1F3864"/>
                <w:sz w:val="17"/>
                <w:szCs w:val="17"/>
              </w:rPr>
              <w:t xml:space="preserve">R2</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7"/>
                <w:szCs w:val="17"/>
              </w:rPr>
              <w:t xml:space="preserve">Opacity: candidates are not told AI is used and cannot understand or challenge why they were rejected, breaching the transparency principle and Article 22 rights.</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color w:val="C00000"/>
                <w:sz w:val="17"/>
                <w:szCs w:val="17"/>
              </w:rPr>
              <w:t xml:space="preserve">High</w:t>
            </w:r>
          </w:p>
        </w:tc>
        <w:tc>
          <w:tcPr>
            <w:tcW w:type="dxa" w:w="404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7"/>
                <w:szCs w:val="17"/>
              </w:rPr>
              <w:t xml:space="preserve">Update the candidate privacy notice to explain AI-assisted screening; provide a route to request human review and to contest outcomes; record decisions.</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color w:val="1F3864"/>
                <w:sz w:val="17"/>
                <w:szCs w:val="17"/>
              </w:rPr>
              <w:t xml:space="preserve">R3</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7"/>
                <w:szCs w:val="17"/>
              </w:rPr>
              <w:t xml:space="preserve">Solely-automated rejection: candidates are rejected without meaningful human involvement, contrary to Article 22.</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color w:val="C00000"/>
                <w:sz w:val="17"/>
                <w:szCs w:val="17"/>
              </w:rPr>
              <w:t xml:space="preserve">High</w:t>
            </w:r>
          </w:p>
        </w:tc>
        <w:tc>
          <w:tcPr>
            <w:tcW w:type="dxa" w:w="404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7"/>
                <w:szCs w:val="17"/>
              </w:rPr>
              <w:t xml:space="preserve">Policy and workflow requiring a recruiter to review and approve every rejection; the tool ranks, a person decides.</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color w:val="1F3864"/>
                <w:sz w:val="17"/>
                <w:szCs w:val="17"/>
              </w:rPr>
              <w:t xml:space="preserve">R4</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7"/>
                <w:szCs w:val="17"/>
              </w:rPr>
              <w:t xml:space="preserve">Unlawful or unclear basis: processing proceeds without a confirmed lawful basis or legitimate interests assessment.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color w:val="BF8F00"/>
                <w:sz w:val="17"/>
                <w:szCs w:val="17"/>
              </w:rPr>
              <w:t xml:space="preserve">Medium</w:t>
            </w:r>
          </w:p>
        </w:tc>
        <w:tc>
          <w:tcPr>
            <w:tcW w:type="dxa" w:w="404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7"/>
                <w:szCs w:val="17"/>
              </w:rPr>
              <w:t xml:space="preserve">Complete a legitimate interests assessment; document the basis; review before further use.</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color w:val="1F3864"/>
                <w:sz w:val="17"/>
                <w:szCs w:val="17"/>
              </w:rPr>
              <w:t xml:space="preserve">R5</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7"/>
                <w:szCs w:val="17"/>
              </w:rPr>
              <w:t xml:space="preserve">Excessive data: passport scans and salary data are sent to the AI vendor though not needed for screening, breaching data minimisation.</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color w:val="BF8F00"/>
                <w:sz w:val="17"/>
                <w:szCs w:val="17"/>
              </w:rPr>
              <w:t xml:space="preserve">Medium</w:t>
            </w:r>
          </w:p>
        </w:tc>
        <w:tc>
          <w:tcPr>
            <w:tcW w:type="dxa" w:w="404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7"/>
                <w:szCs w:val="17"/>
              </w:rPr>
              <w:t xml:space="preserve">Exclude identity documents and salary data from the data passed to the tool; restrict to fields relevant to suitability.</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color w:val="1F3864"/>
                <w:sz w:val="17"/>
                <w:szCs w:val="17"/>
              </w:rPr>
              <w:t xml:space="preserve">R6</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7"/>
                <w:szCs w:val="17"/>
              </w:rPr>
              <w:t xml:space="preserve">Indefinite retention: rejected candidates’ data (including passport scans) is kept with no schedule, breaching storage limitation.</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color w:val="C00000"/>
                <w:sz w:val="17"/>
                <w:szCs w:val="17"/>
              </w:rPr>
              <w:t xml:space="preserve">High</w:t>
            </w:r>
          </w:p>
        </w:tc>
        <w:tc>
          <w:tcPr>
            <w:tcW w:type="dxa" w:w="404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7"/>
                <w:szCs w:val="17"/>
              </w:rPr>
              <w:t xml:space="preserve">Define and apply a retention schedule (e.g. delete a set period after the final decision unless consent to retain); automate deletion in the CRM.</w:t>
            </w:r>
          </w:p>
        </w:tc>
      </w:tr>
      <w:tr>
        <w:tc>
          <w:tcPr>
            <w:tcW w:type="dxa" w:w="62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color w:val="1F3864"/>
                <w:sz w:val="17"/>
                <w:szCs w:val="17"/>
              </w:rPr>
              <w:t xml:space="preserve">R7</w:t>
            </w:r>
          </w:p>
        </w:tc>
        <w:tc>
          <w:tcPr>
            <w:tcW w:type="dxa" w:w="36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7"/>
                <w:szCs w:val="17"/>
              </w:rPr>
              <w:t xml:space="preserve">Processor risk: the AI and CRM vendors process candidate data without verified security or a compliant data processing agreement.</w:t>
            </w:r>
          </w:p>
        </w:tc>
        <w:tc>
          <w:tcPr>
            <w:tcW w:type="dxa" w:w="11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color w:val="BF8F00"/>
                <w:sz w:val="17"/>
                <w:szCs w:val="17"/>
              </w:rPr>
              <w:t xml:space="preserve">Medium</w:t>
            </w:r>
          </w:p>
        </w:tc>
        <w:tc>
          <w:tcPr>
            <w:tcW w:type="dxa" w:w="404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color w:val="000000"/>
                <w:sz w:val="17"/>
                <w:szCs w:val="17"/>
              </w:rPr>
              <w:t xml:space="preserve">Due-diligence questionnaire; verify ISO 27001 / SOC 2; sign UK GDPR Article 28 data processing agreements with security and sub-processor terms.</w:t>
            </w:r>
          </w:p>
        </w:tc>
      </w:tr>
    </w:tbl>
    <w:p>
      <w:r>
        <w:br w:type="page"/>
      </w:r>
    </w:p>
    <w:p>
      <w:pPr>
        <w:pStyle w:val="Heading1"/>
      </w:pPr>
      <w:r>
        <w:t xml:space="preserve">6. Measures to reduce risk and outcome</w:t>
      </w:r>
    </w:p>
    <w:p>
      <w:pPr>
        <w:spacing w:after="120" w:line="276"/>
      </w:pPr>
      <w:r>
        <w:t xml:space="preserve">Implementing the measures in section 5 reduces each risk to an acceptable residual level, on the conditions that: (a) human review of all rejections is enforced; (b) candidates are informed and can obtain human intervention; (c) bias testing is obtained and outcomes are monitored; (d) identity documents are withheld from the tool; (e) a retention schedule is applied; and (f) compliant data processing agreements are in place.</w:t>
      </w:r>
    </w:p>
    <w:p>
      <w:pPr>
        <w:pStyle w:val="Heading2"/>
      </w:pPr>
      <w:r>
        <w:t xml:space="preserve">6.1 Sign-off and residual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Measures approved by</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40"/>
            </w:pPr>
            <w:r>
              <w:rPr>
                <w:sz w:val="18"/>
                <w:szCs w:val="18"/>
              </w:rPr>
              <w:t xml:space="preserve">Managing Director (acting as senior risk owner)</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Residual risk</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40"/>
            </w:pPr>
            <w:r>
              <w:rPr>
                <w:sz w:val="18"/>
                <w:szCs w:val="18"/>
              </w:rPr>
              <w:t xml:space="preserve">Reduced to Low/Medium once measures are implemented; processing should not continue at scale until human-review and transparency measures are live.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DPO / advice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40"/>
            </w:pPr>
            <w:r>
              <w:rPr>
                <w:sz w:val="18"/>
                <w:szCs w:val="18"/>
              </w:rPr>
              <w:t xml:space="preserve">No DPO appointed (not mandatory at this scale); external data protection advice recommended before go-live.</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Consultation with ICO</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40"/>
            </w:pPr>
            <w:r>
              <w:rPr>
                <w:sz w:val="18"/>
                <w:szCs w:val="18"/>
              </w:rPr>
              <w:t xml:space="preserve">Required only if a high residual risk cannot be mitigated.</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120"/>
              <w:bottom w:type="dxa" w:w="60"/>
              <w:right w:type="dxa" w:w="120"/>
            </w:tcMar>
          </w:tcPr>
          <w:p>
            <w:r>
              <w:rPr>
                <w:b/>
                <w:bCs/>
                <w:sz w:val="18"/>
                <w:szCs w:val="18"/>
              </w:rPr>
              <w:t xml:space="preserve">Review date</w:t>
            </w:r>
          </w:p>
        </w:tc>
        <w:tc>
          <w:tcPr>
            <w:tcW w:type="dxa" w:w="6760"/>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40"/>
            </w:pPr>
            <w:r>
              <w:rPr>
                <w:sz w:val="18"/>
                <w:szCs w:val="18"/>
              </w:rPr>
              <w:t xml:space="preserve">Reviewed on implementation of measures, on any material change to the tool, and at least annually.</w:t>
            </w:r>
          </w:p>
        </w:tc>
      </w:tr>
    </w:tbl>
    <w:p>
      <w:pPr>
        <w:spacing w:before="200"/>
      </w:pPr>
    </w:p>
    <w:p>
      <w:pPr>
        <w:spacing w:after="120" w:line="276"/>
      </w:pPr>
      <w:r>
        <w:rPr>
          <w:i/>
          <w:iCs/>
          <w:color w:val="595959"/>
        </w:rPr>
        <w:t xml:space="preserve">This DPIA demonstrates how BrightPath would identify, assess and mitigate the data protection and AI-governance risks of automated CV screening before relying on it — consistent with the ICO’s expectations, UK GDPR Articles 22, 35 and 36, and the high-risk classification applied to recruitment AI under the EU AI Act.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2026-06-30T17:42:50.921Z</dcterms:created>
  <dcterms:modified xsi:type="dcterms:W3CDTF">2026-06-30T17:42:50.921Z</dcterms:modified>
</cp:coreProperties>
</file>

<file path=docProps/custom.xml><?xml version="1.0" encoding="utf-8"?>
<Properties xmlns="http://schemas.openxmlformats.org/officeDocument/2006/custom-properties" xmlns:vt="http://schemas.openxmlformats.org/officeDocument/2006/docPropsVTypes"/>
</file>