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5F850">
      <w:pPr>
        <w:pStyle w:val="3"/>
        <w:ind w:firstLine="0"/>
        <w:jc w:val="center"/>
      </w:pPr>
      <w:bookmarkStart w:id="0" w:name="_Toc3987"/>
      <w:bookmarkStart w:id="34" w:name="_GoBack"/>
      <w:bookmarkEnd w:id="34"/>
      <w:r>
        <w:rPr>
          <w:rFonts w:ascii="Times New Roman" w:hAnsi="Times New Roman" w:eastAsia="黑体" w:cs="Times New Roman"/>
          <w:b w:val="0"/>
          <w:color w:val="000000"/>
          <w:sz w:val="44"/>
        </w:rPr>
        <w:t>长期碳排放权价格跃升保险</w:t>
      </w:r>
      <w:bookmarkEnd w:id="0"/>
    </w:p>
    <w:p w14:paraId="781A40D0">
      <w:pPr>
        <w:ind w:firstLine="0"/>
      </w:pPr>
      <w:r>
        <w:br w:type="page"/>
      </w:r>
    </w:p>
    <w:p w14:paraId="11778215">
      <w:pPr>
        <w:spacing w:after="240"/>
        <w:ind w:firstLine="0"/>
        <w:jc w:val="center"/>
      </w:pPr>
      <w:r>
        <w:rPr>
          <w:rFonts w:ascii="Times New Roman" w:hAnsi="Times New Roman" w:eastAsia="黑体" w:cs="Times New Roman"/>
          <w:b/>
          <w:sz w:val="32"/>
        </w:rPr>
        <w:t>目　　录</w:t>
      </w:r>
    </w:p>
    <w:p w14:paraId="0C8B5870">
      <w:pPr>
        <w:pStyle w:val="27"/>
        <w:tabs>
          <w:tab w:val="right" w:leader="dot" w:pos="8278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_Toc3987 </w:instrText>
      </w:r>
      <w:r>
        <w:fldChar w:fldCharType="separate"/>
      </w:r>
      <w:r>
        <w:rPr>
          <w:rFonts w:ascii="Times New Roman" w:hAnsi="Times New Roman" w:eastAsia="黑体" w:cs="Times New Roman"/>
        </w:rPr>
        <w:t>长期碳排放权价格跃升保险</w:t>
      </w:r>
      <w:r>
        <w:tab/>
      </w:r>
      <w:r>
        <w:fldChar w:fldCharType="begin"/>
      </w:r>
      <w:r>
        <w:instrText xml:space="preserve"> PAGEREF _Toc3987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034E446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_Toc15272 </w:instrText>
      </w:r>
      <w:r>
        <w:fldChar w:fldCharType="separate"/>
      </w:r>
      <w:r>
        <w:rPr>
          <w:rFonts w:ascii="Times New Roman" w:hAnsi="Times New Roman" w:eastAsia="黑体" w:cs="Times New Roman"/>
        </w:rPr>
        <w:t>口径卡片（全文唯一口径定义，此后不再重复推导）</w:t>
      </w:r>
      <w:r>
        <w:tab/>
      </w:r>
      <w:r>
        <w:fldChar w:fldCharType="begin"/>
      </w:r>
      <w:r>
        <w:instrText xml:space="preserve"> PAGEREF _Toc15272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5C8E366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_Toc26784 </w:instrText>
      </w:r>
      <w:r>
        <w:fldChar w:fldCharType="separate"/>
      </w:r>
      <w:r>
        <w:rPr>
          <w:rFonts w:ascii="Times New Roman" w:hAnsi="Times New Roman" w:eastAsia="黑体" w:cs="Times New Roman"/>
        </w:rPr>
        <w:t>摘要</w:t>
      </w:r>
      <w:r>
        <w:tab/>
      </w:r>
      <w:r>
        <w:fldChar w:fldCharType="begin"/>
      </w:r>
      <w:r>
        <w:instrText xml:space="preserve"> PAGEREF _Toc26784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56658EF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_Toc2431 </w:instrText>
      </w:r>
      <w:r>
        <w:fldChar w:fldCharType="separate"/>
      </w:r>
      <w:r>
        <w:rPr>
          <w:rFonts w:ascii="Times New Roman" w:hAnsi="Times New Roman" w:eastAsia="黑体" w:cs="Times New Roman"/>
        </w:rPr>
        <w:t>一、险种定义与边界</w:t>
      </w:r>
      <w:r>
        <w:tab/>
      </w:r>
      <w:r>
        <w:fldChar w:fldCharType="begin"/>
      </w:r>
      <w:r>
        <w:instrText xml:space="preserve"> PAGEREF _Toc2431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E795CFF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_Toc15674 </w:instrText>
      </w:r>
      <w:r>
        <w:fldChar w:fldCharType="separate"/>
      </w:r>
      <w:r>
        <w:rPr>
          <w:rFonts w:ascii="Times New Roman" w:hAnsi="Times New Roman" w:eastAsia="黑体" w:cs="Times New Roman"/>
        </w:rPr>
        <w:t>1.1 定义与四个要件</w:t>
      </w:r>
      <w:r>
        <w:tab/>
      </w:r>
      <w:r>
        <w:fldChar w:fldCharType="begin"/>
      </w:r>
      <w:r>
        <w:instrText xml:space="preserve"> PAGEREF _Toc15674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50AF54C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_Toc30191 </w:instrText>
      </w:r>
      <w:r>
        <w:fldChar w:fldCharType="separate"/>
      </w:r>
      <w:r>
        <w:rPr>
          <w:rFonts w:ascii="Times New Roman" w:hAnsi="Times New Roman" w:eastAsia="黑体" w:cs="Times New Roman"/>
        </w:rPr>
        <w:t>1.2 与相邻产品的边界</w:t>
      </w:r>
      <w:r>
        <w:tab/>
      </w:r>
      <w:r>
        <w:fldChar w:fldCharType="begin"/>
      </w:r>
      <w:r>
        <w:instrText xml:space="preserve"> PAGEREF _Toc30191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331C941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_Toc19281 </w:instrText>
      </w:r>
      <w:r>
        <w:fldChar w:fldCharType="separate"/>
      </w:r>
      <w:r>
        <w:rPr>
          <w:rFonts w:ascii="Times New Roman" w:hAnsi="Times New Roman" w:eastAsia="黑体" w:cs="Times New Roman"/>
        </w:rPr>
        <w:t>二、承保必要性：碳价系统性低估减排成本</w:t>
      </w:r>
      <w:r>
        <w:tab/>
      </w:r>
      <w:r>
        <w:fldChar w:fldCharType="begin"/>
      </w:r>
      <w:r>
        <w:instrText xml:space="preserve"> PAGEREF _Toc19281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7090B6E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_Toc6936 </w:instrText>
      </w:r>
      <w:r>
        <w:fldChar w:fldCharType="separate"/>
      </w:r>
      <w:r>
        <w:rPr>
          <w:rFonts w:ascii="Times New Roman" w:hAnsi="Times New Roman" w:eastAsia="黑体" w:cs="Times New Roman"/>
        </w:rPr>
        <w:t>2.1 影子价格与方向距离函数</w:t>
      </w:r>
      <w:r>
        <w:tab/>
      </w:r>
      <w:r>
        <w:fldChar w:fldCharType="begin"/>
      </w:r>
      <w:r>
        <w:instrText xml:space="preserve"> PAGEREF _Toc6936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BC525A4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_Toc4269 </w:instrText>
      </w:r>
      <w:r>
        <w:fldChar w:fldCharType="separate"/>
      </w:r>
      <w:r>
        <w:rPr>
          <w:rFonts w:ascii="Times New Roman" w:hAnsi="Times New Roman" w:eastAsia="黑体" w:cs="Times New Roman"/>
        </w:rPr>
        <w:t>2.2 g 的取值造成多大的区间</w:t>
      </w:r>
      <w:r>
        <w:tab/>
      </w:r>
      <w:r>
        <w:fldChar w:fldCharType="begin"/>
      </w:r>
      <w:r>
        <w:instrText xml:space="preserve"> PAGEREF _Toc4269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FD6A073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_Toc17190 </w:instrText>
      </w:r>
      <w:r>
        <w:fldChar w:fldCharType="separate"/>
      </w:r>
      <w:r>
        <w:rPr>
          <w:rFonts w:ascii="Times New Roman" w:hAnsi="Times New Roman" w:eastAsia="黑体" w:cs="Times New Roman"/>
        </w:rPr>
        <w:t>2.3 缺口倍数的稳健区间</w:t>
      </w:r>
      <w:r>
        <w:tab/>
      </w:r>
      <w:r>
        <w:fldChar w:fldCharType="begin"/>
      </w:r>
      <w:r>
        <w:instrText xml:space="preserve"> PAGEREF _Toc17190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F7F0F19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_Toc27711 </w:instrText>
      </w:r>
      <w:r>
        <w:fldChar w:fldCharType="separate"/>
      </w:r>
      <w:r>
        <w:rPr>
          <w:rFonts w:ascii="Times New Roman" w:hAnsi="Times New Roman" w:eastAsia="黑体" w:cs="Times New Roman"/>
        </w:rPr>
        <w:t>2.4 为什么 MAC 不作为触发因子</w:t>
      </w:r>
      <w:r>
        <w:tab/>
      </w:r>
      <w:r>
        <w:fldChar w:fldCharType="begin"/>
      </w:r>
      <w:r>
        <w:instrText xml:space="preserve"> PAGEREF _Toc27711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0079BEA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_Toc213 </w:instrText>
      </w:r>
      <w:r>
        <w:fldChar w:fldCharType="separate"/>
      </w:r>
      <w:r>
        <w:rPr>
          <w:rFonts w:ascii="Times New Roman" w:hAnsi="Times New Roman" w:eastAsia="黑体" w:cs="Times New Roman"/>
        </w:rPr>
        <w:t>三、风险识别与定价</w:t>
      </w:r>
      <w:r>
        <w:tab/>
      </w:r>
      <w:r>
        <w:fldChar w:fldCharType="begin"/>
      </w:r>
      <w:r>
        <w:instrText xml:space="preserve"> PAGEREF _Toc213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B875306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_Toc24356 </w:instrText>
      </w:r>
      <w:r>
        <w:fldChar w:fldCharType="separate"/>
      </w:r>
      <w:r>
        <w:rPr>
          <w:rFonts w:ascii="Times New Roman" w:hAnsi="Times New Roman" w:eastAsia="黑体" w:cs="Times New Roman"/>
        </w:rPr>
        <w:t>3.1 被承保的风险</w:t>
      </w:r>
      <w:r>
        <w:tab/>
      </w:r>
      <w:r>
        <w:fldChar w:fldCharType="begin"/>
      </w:r>
      <w:r>
        <w:instrText xml:space="preserve"> PAGEREF _Toc24356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73F8D8E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_Toc19696 </w:instrText>
      </w:r>
      <w:r>
        <w:fldChar w:fldCharType="separate"/>
      </w:r>
      <w:r>
        <w:rPr>
          <w:rFonts w:ascii="Times New Roman" w:hAnsi="Times New Roman" w:eastAsia="黑体" w:cs="Times New Roman"/>
        </w:rPr>
        <w:t>3.2 锚日规则：防止逆向选择</w:t>
      </w:r>
      <w:r>
        <w:tab/>
      </w:r>
      <w:r>
        <w:fldChar w:fldCharType="begin"/>
      </w:r>
      <w:r>
        <w:instrText xml:space="preserve"> PAGEREF _Toc19696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9A9F4B5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_Toc4755 </w:instrText>
      </w:r>
      <w:r>
        <w:fldChar w:fldCharType="separate"/>
      </w:r>
      <w:r>
        <w:rPr>
          <w:rFonts w:ascii="Times New Roman" w:hAnsi="Times New Roman" w:eastAsia="黑体" w:cs="Times New Roman"/>
        </w:rPr>
        <w:t>3.3 责任上限必须比例式：定额结构在价格跃迁后失效</w:t>
      </w:r>
      <w:r>
        <w:tab/>
      </w:r>
      <w:r>
        <w:fldChar w:fldCharType="begin"/>
      </w:r>
      <w:r>
        <w:instrText xml:space="preserve"> PAGEREF _Toc4755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62C339B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_Toc22792 </w:instrText>
      </w:r>
      <w:r>
        <w:fldChar w:fldCharType="separate"/>
      </w:r>
      <w:r>
        <w:rPr>
          <w:rFonts w:ascii="Times New Roman" w:hAnsi="Times New Roman" w:eastAsia="黑体" w:cs="Times New Roman"/>
        </w:rPr>
        <w:t>3.4 赔付确认：日度观察 + 年度累计</w:t>
      </w:r>
      <w:r>
        <w:tab/>
      </w:r>
      <w:r>
        <w:fldChar w:fldCharType="begin"/>
      </w:r>
      <w:r>
        <w:instrText xml:space="preserve"> PAGEREF _Toc22792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41BA8B3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_Toc12865 </w:instrText>
      </w:r>
      <w:r>
        <w:fldChar w:fldCharType="separate"/>
      </w:r>
      <w:r>
        <w:rPr>
          <w:rFonts w:ascii="Times New Roman" w:hAnsi="Times New Roman" w:eastAsia="黑体" w:cs="Times New Roman"/>
        </w:rPr>
        <w:t>3.5 组合分散因子取 1.00</w:t>
      </w:r>
      <w:r>
        <w:tab/>
      </w:r>
      <w:r>
        <w:fldChar w:fldCharType="begin"/>
      </w:r>
      <w:r>
        <w:instrText xml:space="preserve"> PAGEREF _Toc12865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59138EB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_Toc2235 </w:instrText>
      </w:r>
      <w:r>
        <w:fldChar w:fldCharType="separate"/>
      </w:r>
      <w:r>
        <w:rPr>
          <w:rFonts w:ascii="Times New Roman" w:hAnsi="Times New Roman" w:eastAsia="黑体" w:cs="Times New Roman"/>
        </w:rPr>
        <w:t>3.6 报价与份额的商业含义</w:t>
      </w:r>
      <w:r>
        <w:tab/>
      </w:r>
      <w:r>
        <w:fldChar w:fldCharType="begin"/>
      </w:r>
      <w:r>
        <w:instrText xml:space="preserve"> PAGEREF _Toc2235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6902E18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_Toc26384 </w:instrText>
      </w:r>
      <w:r>
        <w:fldChar w:fldCharType="separate"/>
      </w:r>
      <w:r>
        <w:rPr>
          <w:rFonts w:ascii="Times New Roman" w:hAnsi="Times New Roman" w:eastAsia="黑体" w:cs="Times New Roman"/>
        </w:rPr>
        <w:t>3.7 波动率的状态依赖（情景，非主口径）</w:t>
      </w:r>
      <w:r>
        <w:tab/>
      </w:r>
      <w:r>
        <w:fldChar w:fldCharType="begin"/>
      </w:r>
      <w:r>
        <w:instrText xml:space="preserve"> PAGEREF _Toc26384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3EB07EB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_Toc20023 </w:instrText>
      </w:r>
      <w:r>
        <w:fldChar w:fldCharType="separate"/>
      </w:r>
      <w:r>
        <w:rPr>
          <w:rFonts w:ascii="Times New Roman" w:hAnsi="Times New Roman" w:eastAsia="黑体" w:cs="Times New Roman"/>
        </w:rPr>
        <w:t>四、条款设计</w:t>
      </w:r>
      <w:r>
        <w:tab/>
      </w:r>
      <w:r>
        <w:fldChar w:fldCharType="begin"/>
      </w:r>
      <w:r>
        <w:instrText xml:space="preserve"> PAGEREF _Toc20023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AAA9D6C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_Toc23549 </w:instrText>
      </w:r>
      <w:r>
        <w:fldChar w:fldCharType="separate"/>
      </w:r>
      <w:r>
        <w:rPr>
          <w:rFonts w:ascii="Times New Roman" w:hAnsi="Times New Roman" w:eastAsia="黑体" w:cs="Times New Roman"/>
        </w:rPr>
        <w:t>4.1 承保表</w:t>
      </w:r>
      <w:r>
        <w:tab/>
      </w:r>
      <w:r>
        <w:fldChar w:fldCharType="begin"/>
      </w:r>
      <w:r>
        <w:instrText xml:space="preserve"> PAGEREF _Toc23549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B6B7753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_Toc19431 </w:instrText>
      </w:r>
      <w:r>
        <w:fldChar w:fldCharType="separate"/>
      </w:r>
      <w:r>
        <w:rPr>
          <w:rFonts w:ascii="Times New Roman" w:hAnsi="Times New Roman" w:eastAsia="黑体" w:cs="Times New Roman"/>
        </w:rPr>
        <w:t>4.2 时效表</w:t>
      </w:r>
      <w:r>
        <w:tab/>
      </w:r>
      <w:r>
        <w:fldChar w:fldCharType="begin"/>
      </w:r>
      <w:r>
        <w:instrText xml:space="preserve"> PAGEREF _Toc19431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48D4564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_Toc18342 </w:instrText>
      </w:r>
      <w:r>
        <w:fldChar w:fldCharType="separate"/>
      </w:r>
      <w:r>
        <w:rPr>
          <w:rFonts w:ascii="Times New Roman" w:hAnsi="Times New Roman" w:eastAsia="黑体" w:cs="Times New Roman"/>
        </w:rPr>
        <w:t>4.3 责任表与不赔项</w:t>
      </w:r>
      <w:r>
        <w:tab/>
      </w:r>
      <w:r>
        <w:fldChar w:fldCharType="begin"/>
      </w:r>
      <w:r>
        <w:instrText xml:space="preserve"> PAGEREF _Toc18342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60C9FA8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_Toc27749 </w:instrText>
      </w:r>
      <w:r>
        <w:fldChar w:fldCharType="separate"/>
      </w:r>
      <w:r>
        <w:rPr>
          <w:rFonts w:ascii="Times New Roman" w:hAnsi="Times New Roman" w:eastAsia="黑体" w:cs="Times New Roman"/>
        </w:rPr>
        <w:t>4.4 保费表</w:t>
      </w:r>
      <w:r>
        <w:tab/>
      </w:r>
      <w:r>
        <w:fldChar w:fldCharType="begin"/>
      </w:r>
      <w:r>
        <w:instrText xml:space="preserve"> PAGEREF _Toc27749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9586158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_Toc1763 </w:instrText>
      </w:r>
      <w:r>
        <w:fldChar w:fldCharType="separate"/>
      </w:r>
      <w:r>
        <w:rPr>
          <w:rFonts w:ascii="Times New Roman" w:hAnsi="Times New Roman" w:eastAsia="黑体" w:cs="Times New Roman"/>
        </w:rPr>
        <w:t>五、条款更新</w:t>
      </w:r>
      <w:r>
        <w:tab/>
      </w:r>
      <w:r>
        <w:fldChar w:fldCharType="begin"/>
      </w:r>
      <w:r>
        <w:instrText xml:space="preserve"> PAGEREF _Toc1763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B2E18BD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_Toc27434 </w:instrText>
      </w:r>
      <w:r>
        <w:fldChar w:fldCharType="separate"/>
      </w:r>
      <w:r>
        <w:rPr>
          <w:rFonts w:ascii="Times New Roman" w:hAnsi="Times New Roman" w:eastAsia="黑体" w:cs="Times New Roman"/>
        </w:rPr>
        <w:t>5.1 更新对象与时点</w:t>
      </w:r>
      <w:r>
        <w:tab/>
      </w:r>
      <w:r>
        <w:fldChar w:fldCharType="begin"/>
      </w:r>
      <w:r>
        <w:instrText xml:space="preserve"> PAGEREF _Toc27434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FC6EBAE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_Toc31044 </w:instrText>
      </w:r>
      <w:r>
        <w:fldChar w:fldCharType="separate"/>
      </w:r>
      <w:r>
        <w:rPr>
          <w:rFonts w:ascii="Times New Roman" w:hAnsi="Times New Roman" w:eastAsia="黑体" w:cs="Times New Roman"/>
        </w:rPr>
        <w:t>5.2 经验赔付回校</w:t>
      </w:r>
      <w:r>
        <w:tab/>
      </w:r>
      <w:r>
        <w:fldChar w:fldCharType="begin"/>
      </w:r>
      <w:r>
        <w:instrText xml:space="preserve"> PAGEREF _Toc31044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186C00F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_Toc23443 </w:instrText>
      </w:r>
      <w:r>
        <w:fldChar w:fldCharType="separate"/>
      </w:r>
      <w:r>
        <w:rPr>
          <w:rFonts w:ascii="Times New Roman" w:hAnsi="Times New Roman" w:eastAsia="黑体" w:cs="Times New Roman"/>
        </w:rPr>
        <w:t>5.3 一项须披露的机制性削弱</w:t>
      </w:r>
      <w:r>
        <w:tab/>
      </w:r>
      <w:r>
        <w:fldChar w:fldCharType="begin"/>
      </w:r>
      <w:r>
        <w:instrText xml:space="preserve"> PAGEREF _Toc23443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D4B4FD7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_Toc5756 </w:instrText>
      </w:r>
      <w:r>
        <w:fldChar w:fldCharType="separate"/>
      </w:r>
      <w:r>
        <w:rPr>
          <w:rFonts w:ascii="Times New Roman" w:hAnsi="Times New Roman" w:eastAsia="黑体" w:cs="Times New Roman"/>
        </w:rPr>
        <w:t>六、保障深度、可缔约性与局限</w:t>
      </w:r>
      <w:r>
        <w:tab/>
      </w:r>
      <w:r>
        <w:fldChar w:fldCharType="begin"/>
      </w:r>
      <w:r>
        <w:instrText xml:space="preserve"> PAGEREF _Toc5756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EFF98DC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_Toc26931 </w:instrText>
      </w:r>
      <w:r>
        <w:fldChar w:fldCharType="separate"/>
      </w:r>
      <w:r>
        <w:rPr>
          <w:rFonts w:ascii="Times New Roman" w:hAnsi="Times New Roman" w:eastAsia="黑体" w:cs="Times New Roman"/>
        </w:rPr>
        <w:t>6.1 保障深度：分位层在低频高损情形失效（须优先披露）</w:t>
      </w:r>
      <w:r>
        <w:tab/>
      </w:r>
      <w:r>
        <w:fldChar w:fldCharType="begin"/>
      </w:r>
      <w:r>
        <w:instrText xml:space="preserve"> PAGEREF _Toc26931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D726FE5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_Toc11247 </w:instrText>
      </w:r>
      <w:r>
        <w:fldChar w:fldCharType="separate"/>
      </w:r>
      <w:r>
        <w:rPr>
          <w:rFonts w:ascii="Times New Roman" w:hAnsi="Times New Roman" w:eastAsia="黑体" w:cs="Times New Roman"/>
        </w:rPr>
        <w:t>6.2 赔付率的诚实披露</w:t>
      </w:r>
      <w:r>
        <w:tab/>
      </w:r>
      <w:r>
        <w:fldChar w:fldCharType="begin"/>
      </w:r>
      <w:r>
        <w:instrText xml:space="preserve"> PAGEREF _Toc11247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5092157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_Toc9095 </w:instrText>
      </w:r>
      <w:r>
        <w:fldChar w:fldCharType="separate"/>
      </w:r>
      <w:r>
        <w:rPr>
          <w:rFonts w:ascii="Times New Roman" w:hAnsi="Times New Roman" w:eastAsia="黑体" w:cs="Times New Roman"/>
        </w:rPr>
        <w:t>6.3 局限与产品存续前提</w:t>
      </w:r>
      <w:r>
        <w:tab/>
      </w:r>
      <w:r>
        <w:fldChar w:fldCharType="begin"/>
      </w:r>
      <w:r>
        <w:instrText xml:space="preserve"> PAGEREF _Toc9095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0132C08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_Toc27658 </w:instrText>
      </w:r>
      <w:r>
        <w:fldChar w:fldCharType="separate"/>
      </w:r>
      <w:r>
        <w:rPr>
          <w:rFonts w:ascii="Times New Roman" w:hAnsi="Times New Roman" w:eastAsia="黑体" w:cs="Times New Roman"/>
        </w:rPr>
        <w:t>6.4 结论</w:t>
      </w:r>
      <w:r>
        <w:tab/>
      </w:r>
      <w:r>
        <w:fldChar w:fldCharType="begin"/>
      </w:r>
      <w:r>
        <w:instrText xml:space="preserve"> PAGEREF _Toc27658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3AA3A00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_Toc30861 </w:instrText>
      </w:r>
      <w:r>
        <w:fldChar w:fldCharType="separate"/>
      </w:r>
      <w:r>
        <w:rPr>
          <w:rFonts w:ascii="Times New Roman" w:hAnsi="Times New Roman" w:eastAsia="黑体" w:cs="Times New Roman"/>
        </w:rPr>
        <w:t>附表 A：口径敏感性汇总</w:t>
      </w:r>
      <w:r>
        <w:tab/>
      </w:r>
      <w:r>
        <w:fldChar w:fldCharType="begin"/>
      </w:r>
      <w:r>
        <w:instrText xml:space="preserve"> PAGEREF _Toc30861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195B09E">
      <w:pPr>
        <w:ind w:firstLine="0"/>
      </w:pPr>
      <w:r>
        <w:fldChar w:fldCharType="end"/>
      </w:r>
    </w:p>
    <w:p w14:paraId="6ED5AFE3">
      <w:pPr>
        <w:ind w:firstLine="0"/>
      </w:pPr>
      <w:r>
        <w:br w:type="page"/>
      </w:r>
    </w:p>
    <w:p w14:paraId="4160C014">
      <w:pPr>
        <w:pStyle w:val="4"/>
        <w:ind w:firstLine="0"/>
        <w:jc w:val="left"/>
      </w:pPr>
      <w:bookmarkStart w:id="1" w:name="_Toc15272"/>
      <w:r>
        <w:rPr>
          <w:rFonts w:ascii="Times New Roman" w:hAnsi="Times New Roman" w:eastAsia="黑体" w:cs="Times New Roman"/>
          <w:b/>
          <w:color w:val="000000"/>
          <w:sz w:val="32"/>
        </w:rPr>
        <w:t>口径卡片（全文唯一口径定义，此后不再重复推导）</w:t>
      </w:r>
      <w:bookmarkEnd w:id="1"/>
    </w:p>
    <w:tbl>
      <w:tblPr>
        <w:tblStyle w:val="36"/>
        <w:tblW w:w="8278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1604"/>
        <w:gridCol w:w="1000"/>
        <w:gridCol w:w="4101"/>
      </w:tblGrid>
      <w:tr w14:paraId="65ABC06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73" w:type="dxa"/>
            <w:tcBorders>
              <w:bottom w:val="single" w:color="000000" w:sz="6" w:space="0"/>
            </w:tcBorders>
            <w:vAlign w:val="center"/>
          </w:tcPr>
          <w:p w14:paraId="3723FC6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量</w:t>
            </w:r>
          </w:p>
        </w:tc>
        <w:tc>
          <w:tcPr>
            <w:tcW w:w="1604" w:type="dxa"/>
            <w:tcBorders>
              <w:bottom w:val="single" w:color="000000" w:sz="6" w:space="0"/>
            </w:tcBorders>
            <w:vAlign w:val="center"/>
          </w:tcPr>
          <w:p w14:paraId="70D736B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取值</w:t>
            </w:r>
          </w:p>
        </w:tc>
        <w:tc>
          <w:tcPr>
            <w:tcW w:w="1000" w:type="dxa"/>
            <w:tcBorders>
              <w:bottom w:val="single" w:color="000000" w:sz="6" w:space="0"/>
            </w:tcBorders>
            <w:vAlign w:val="center"/>
          </w:tcPr>
          <w:p w14:paraId="30745D1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性质</w:t>
            </w:r>
          </w:p>
        </w:tc>
        <w:tc>
          <w:tcPr>
            <w:tcW w:w="4101" w:type="dxa"/>
            <w:tcBorders>
              <w:bottom w:val="single" w:color="000000" w:sz="6" w:space="0"/>
            </w:tcBorders>
            <w:vAlign w:val="center"/>
          </w:tcPr>
          <w:p w14:paraId="25804FA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口径说明</w:t>
            </w:r>
          </w:p>
        </w:tc>
      </w:tr>
      <w:tr w14:paraId="5B4A35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vAlign w:val="center"/>
          </w:tcPr>
          <w:p w14:paraId="6E3F4745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碳价锚 </w:t>
            </w:r>
            <m:oMath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0</m:t>
                  </m:r>
                </m:sub>
              </m:sSub>
            </m:oMath>
          </w:p>
        </w:tc>
        <w:tc>
          <w:tcPr>
            <w:tcW w:w="1604" w:type="dxa"/>
            <w:vAlign w:val="center"/>
          </w:tcPr>
          <w:p w14:paraId="249260A0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97.90元/吨</w:t>
            </w:r>
          </w:p>
        </w:tc>
        <w:tc>
          <w:tcPr>
            <w:tcW w:w="1000" w:type="dxa"/>
            <w:vAlign w:val="center"/>
          </w:tcPr>
          <w:p w14:paraId="2E2BC85F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实测</w:t>
            </w:r>
          </w:p>
        </w:tc>
        <w:tc>
          <w:tcPr>
            <w:tcW w:w="4101" w:type="dxa"/>
            <w:vAlign w:val="center"/>
          </w:tcPr>
          <w:p w14:paraId="27EF2814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2026-08 全国碳市场综合价格收盘价</w:t>
            </w:r>
          </w:p>
        </w:tc>
      </w:tr>
      <w:tr w14:paraId="6DDD87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vAlign w:val="center"/>
          </w:tcPr>
          <w:p w14:paraId="6184947A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锚日规则</w:t>
            </w:r>
          </w:p>
        </w:tc>
        <w:tc>
          <w:tcPr>
            <w:tcW w:w="1604" w:type="dxa"/>
            <w:vAlign w:val="center"/>
          </w:tcPr>
          <w:p w14:paraId="2D41ECA2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—</w:t>
            </w:r>
          </w:p>
        </w:tc>
        <w:tc>
          <w:tcPr>
            <w:tcW w:w="1000" w:type="dxa"/>
            <w:vAlign w:val="center"/>
          </w:tcPr>
          <w:p w14:paraId="27055DDC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设定</w:t>
            </w:r>
          </w:p>
        </w:tc>
        <w:tc>
          <w:tcPr>
            <w:tcW w:w="4101" w:type="dxa"/>
            <w:vAlign w:val="center"/>
          </w:tcPr>
          <w:p w14:paraId="569C1234">
            <w:pPr>
              <w:spacing w:before="20" w:after="20" w:line="240" w:lineRule="auto"/>
              <w:ind w:firstLine="0"/>
            </w:pPr>
            <m:oMath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0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 = </w:t>
            </w: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保单起期日前一交易日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收盘价，</w:t>
            </w: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与投保日无关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（防逆向选择，§3.2）</w:t>
            </w:r>
          </w:p>
        </w:tc>
      </w:tr>
      <w:tr w14:paraId="34855F0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vAlign w:val="center"/>
          </w:tcPr>
          <w:p w14:paraId="6251AF14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保单期限</w:t>
            </w:r>
          </w:p>
        </w:tc>
        <w:tc>
          <w:tcPr>
            <w:tcW w:w="1604" w:type="dxa"/>
            <w:vAlign w:val="center"/>
          </w:tcPr>
          <w:p w14:paraId="3B3791A8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1 年，可连续续保</w:t>
            </w:r>
          </w:p>
        </w:tc>
        <w:tc>
          <w:tcPr>
            <w:tcW w:w="1000" w:type="dxa"/>
            <w:vAlign w:val="center"/>
          </w:tcPr>
          <w:p w14:paraId="64AFA643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设定</w:t>
            </w:r>
          </w:p>
        </w:tc>
        <w:tc>
          <w:tcPr>
            <w:tcW w:w="4101" w:type="dxa"/>
            <w:vAlign w:val="center"/>
          </w:tcPr>
          <w:p w14:paraId="61A16469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逐年订立、逐年独立定价</w:t>
            </w:r>
          </w:p>
        </w:tc>
      </w:tr>
      <w:tr w14:paraId="6B76CC7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vAlign w:val="center"/>
          </w:tcPr>
          <w:p w14:paraId="109EFB6B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承保份额 </w:t>
            </w:r>
            <m:oMath>
              <m:r>
                <m:rPr/>
                <m:t>α</m:t>
              </m:r>
            </m:oMath>
          </w:p>
        </w:tc>
        <w:tc>
          <w:tcPr>
            <w:tcW w:w="1604" w:type="dxa"/>
            <w:vAlign w:val="center"/>
          </w:tcPr>
          <w:p w14:paraId="066BC70C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10%（基准）</w:t>
            </w:r>
          </w:p>
        </w:tc>
        <w:tc>
          <w:tcPr>
            <w:tcW w:w="1000" w:type="dxa"/>
            <w:vAlign w:val="center"/>
          </w:tcPr>
          <w:p w14:paraId="151479EF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设定</w:t>
            </w:r>
          </w:p>
        </w:tc>
        <w:tc>
          <w:tcPr>
            <w:tcW w:w="4101" w:type="dxa"/>
            <w:vAlign w:val="center"/>
          </w:tcPr>
          <w:p w14:paraId="4F0282B5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投保人自留比例，非可行性杠杆（§3.6）</w:t>
            </w:r>
          </w:p>
        </w:tc>
      </w:tr>
      <w:tr w14:paraId="14195A8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vAlign w:val="center"/>
          </w:tcPr>
          <w:p w14:paraId="1317F5EE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起赔倍数 </w:t>
            </w:r>
            <m:oMath>
              <m:r>
                <m:rPr/>
                <m:t>κ</m:t>
              </m:r>
            </m:oMath>
          </w:p>
        </w:tc>
        <w:tc>
          <w:tcPr>
            <w:tcW w:w="1604" w:type="dxa"/>
            <w:vAlign w:val="center"/>
          </w:tcPr>
          <w:p w14:paraId="34B86508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1.30</w:t>
            </w:r>
          </w:p>
        </w:tc>
        <w:tc>
          <w:tcPr>
            <w:tcW w:w="1000" w:type="dxa"/>
            <w:vAlign w:val="center"/>
          </w:tcPr>
          <w:p w14:paraId="0898F8DF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设定</w:t>
            </w:r>
          </w:p>
        </w:tc>
        <w:tc>
          <w:tcPr>
            <w:tcW w:w="4101" w:type="dxa"/>
            <w:vAlign w:val="center"/>
          </w:tcPr>
          <w:p w14:paraId="3A917CC9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碳价同比涨幅达 30% 起赔，</w:t>
            </w: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合同期内固定</w:t>
            </w:r>
          </w:p>
        </w:tc>
      </w:tr>
      <w:tr w14:paraId="4510272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vAlign w:val="center"/>
          </w:tcPr>
          <w:p w14:paraId="2DD3FD6C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责任上限</w:t>
            </w:r>
          </w:p>
        </w:tc>
        <w:tc>
          <w:tcPr>
            <w:tcW w:w="1604" w:type="dxa"/>
            <w:vAlign w:val="center"/>
          </w:tcPr>
          <w:p w14:paraId="19ACF968">
            <w:pPr>
              <w:spacing w:before="20" w:after="20" w:line="240" w:lineRule="auto"/>
              <w:ind w:firstLine="0"/>
            </w:pPr>
            <m:oMathPara>
              <m:oMath>
                <m:r>
                  <m:rPr/>
                  <m:t>2</m:t>
                </m:r>
                <m:r>
                  <m:rPr>
                    <m:sty m:val="p"/>
                  </m:rPr>
                  <m:t>×</m:t>
                </m:r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0</m:t>
                    </m:r>
                  </m:sub>
                </m:sSub>
              </m:oMath>
            </m:oMathPara>
          </w:p>
        </w:tc>
        <w:tc>
          <w:tcPr>
            <w:tcW w:w="1000" w:type="dxa"/>
            <w:vAlign w:val="center"/>
          </w:tcPr>
          <w:p w14:paraId="774F89CF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设定</w:t>
            </w:r>
          </w:p>
        </w:tc>
        <w:tc>
          <w:tcPr>
            <w:tcW w:w="4101" w:type="dxa"/>
            <w:vAlign w:val="center"/>
          </w:tcPr>
          <w:p w14:paraId="19641094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比例式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：随当期价格水平同步放大（§3.3）</w:t>
            </w:r>
          </w:p>
        </w:tc>
      </w:tr>
      <w:tr w14:paraId="798828D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vAlign w:val="center"/>
          </w:tcPr>
          <w:p w14:paraId="02254CD9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触发次数上限</w:t>
            </w:r>
          </w:p>
        </w:tc>
        <w:tc>
          <w:tcPr>
            <w:tcW w:w="1604" w:type="dxa"/>
            <w:vAlign w:val="center"/>
          </w:tcPr>
          <w:p w14:paraId="12A04D01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5 次</w:t>
            </w:r>
          </w:p>
        </w:tc>
        <w:tc>
          <w:tcPr>
            <w:tcW w:w="1000" w:type="dxa"/>
            <w:vAlign w:val="center"/>
          </w:tcPr>
          <w:p w14:paraId="0A6F2D60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设定</w:t>
            </w:r>
          </w:p>
        </w:tc>
        <w:tc>
          <w:tcPr>
            <w:tcW w:w="4101" w:type="dxa"/>
            <w:vAlign w:val="center"/>
          </w:tcPr>
          <w:p w14:paraId="55468C3D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防波动年反复触发套利（§3.4）</w:t>
            </w:r>
          </w:p>
        </w:tc>
      </w:tr>
      <w:tr w14:paraId="2C302C0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vAlign w:val="center"/>
          </w:tcPr>
          <w:p w14:paraId="75F641F9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保费形式</w:t>
            </w:r>
          </w:p>
        </w:tc>
        <w:tc>
          <w:tcPr>
            <w:tcW w:w="1604" w:type="dxa"/>
            <w:vAlign w:val="center"/>
          </w:tcPr>
          <w:p w14:paraId="613DCC06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费率制</w:t>
            </w:r>
          </w:p>
        </w:tc>
        <w:tc>
          <w:tcPr>
            <w:tcW w:w="1000" w:type="dxa"/>
            <w:vAlign w:val="center"/>
          </w:tcPr>
          <w:p w14:paraId="2BDBD6D1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设定</w:t>
            </w:r>
          </w:p>
        </w:tc>
        <w:tc>
          <w:tcPr>
            <w:tcW w:w="4101" w:type="dxa"/>
            <w:vAlign w:val="center"/>
          </w:tcPr>
          <w:p w14:paraId="1D42E2F3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以「元/吨」报价，同时给出费率 = 保费 / CAP</w:t>
            </w:r>
          </w:p>
        </w:tc>
      </w:tr>
      <w:tr w14:paraId="0F3585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vAlign w:val="center"/>
          </w:tcPr>
          <w:p w14:paraId="6E08E905">
            <w:pPr>
              <w:spacing w:before="20" w:after="20" w:line="240" w:lineRule="auto"/>
              <w:ind w:firstLine="0"/>
            </w:pPr>
            <m:oMathPara>
              <m:oMath>
                <m:sSub>
                  <m:sSubPr/>
                  <m:e>
                    <m:r>
                      <m:rPr/>
                      <m:t>σ</m:t>
                    </m:r>
                  </m:e>
                  <m:sub>
                    <m:r>
                      <m:rPr/>
                      <m:t>P</m:t>
                    </m:r>
                  </m:sub>
                </m:sSub>
              </m:oMath>
            </m:oMathPara>
          </w:p>
        </w:tc>
        <w:tc>
          <w:tcPr>
            <w:tcW w:w="1604" w:type="dxa"/>
            <w:vAlign w:val="center"/>
          </w:tcPr>
          <w:p w14:paraId="5CBBACAB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0.28</w:t>
            </w:r>
          </w:p>
        </w:tc>
        <w:tc>
          <w:tcPr>
            <w:tcW w:w="1000" w:type="dxa"/>
            <w:vAlign w:val="center"/>
          </w:tcPr>
          <w:p w14:paraId="7A9805DB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假设</w:t>
            </w:r>
          </w:p>
        </w:tc>
        <w:tc>
          <w:tcPr>
            <w:tcW w:w="4101" w:type="dxa"/>
            <w:vAlign w:val="center"/>
          </w:tcPr>
          <w:p w14:paraId="11B59E7A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碳价年化对数波动率（实测可标定值 0.185）</w:t>
            </w:r>
          </w:p>
        </w:tc>
      </w:tr>
      <w:tr w14:paraId="0C7B2F2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vAlign w:val="center"/>
          </w:tcPr>
          <w:p w14:paraId="0C16EE5D">
            <w:pPr>
              <w:spacing w:before="20" w:after="20" w:line="240" w:lineRule="auto"/>
              <w:ind w:firstLine="0"/>
            </w:pPr>
            <m:oMathPara>
              <m:oMath>
                <m:r>
                  <m:rPr/>
                  <m:t>ϕ</m:t>
                </m:r>
              </m:oMath>
            </m:oMathPara>
          </w:p>
        </w:tc>
        <w:tc>
          <w:tcPr>
            <w:tcW w:w="1604" w:type="dxa"/>
            <w:vAlign w:val="center"/>
          </w:tcPr>
          <w:p w14:paraId="3EC213AC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1.00</w:t>
            </w:r>
          </w:p>
        </w:tc>
        <w:tc>
          <w:tcPr>
            <w:tcW w:w="1000" w:type="dxa"/>
            <w:vAlign w:val="center"/>
          </w:tcPr>
          <w:p w14:paraId="0C09D225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假设</w:t>
            </w:r>
          </w:p>
        </w:tc>
        <w:tc>
          <w:tcPr>
            <w:tcW w:w="4101" w:type="dxa"/>
            <w:vAlign w:val="center"/>
          </w:tcPr>
          <w:p w14:paraId="30E4B595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全国单一碳价 ⇒ 截面相关 = 1，不存在组合分散（§3.5）</w:t>
            </w:r>
          </w:p>
        </w:tc>
      </w:tr>
      <w:tr w14:paraId="1698496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vAlign w:val="center"/>
          </w:tcPr>
          <w:p w14:paraId="1531B232">
            <w:pPr>
              <w:spacing w:before="20" w:after="20" w:line="240" w:lineRule="auto"/>
              <w:ind w:firstLine="0"/>
            </w:pPr>
            <m:oMath>
              <m:r>
                <m:rPr/>
                <m:t>e</m:t>
              </m:r>
            </m:oMath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 / </w:t>
            </w:r>
            <m:oMath>
              <m:r>
                <m:rPr/>
                <m:t>π</m:t>
              </m:r>
            </m:oMath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 / </w:t>
            </w:r>
            <m:oMath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c</m:t>
                  </m:r>
                </m:sub>
              </m:sSub>
            </m:oMath>
          </w:p>
        </w:tc>
        <w:tc>
          <w:tcPr>
            <w:tcW w:w="1604" w:type="dxa"/>
            <w:vAlign w:val="center"/>
          </w:tcPr>
          <w:p w14:paraId="2CE515B1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12% / 8% / 6%</w:t>
            </w:r>
          </w:p>
        </w:tc>
        <w:tc>
          <w:tcPr>
            <w:tcW w:w="1000" w:type="dxa"/>
            <w:vAlign w:val="center"/>
          </w:tcPr>
          <w:p w14:paraId="7BBB8826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设定</w:t>
            </w:r>
          </w:p>
        </w:tc>
        <w:tc>
          <w:tcPr>
            <w:tcW w:w="4101" w:type="dxa"/>
            <w:vAlign w:val="center"/>
          </w:tcPr>
          <w:p w14:paraId="2D3F8248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费用率 / 利润边际 / 资本成本</w:t>
            </w:r>
          </w:p>
        </w:tc>
      </w:tr>
      <w:tr w14:paraId="6A275A8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vAlign w:val="center"/>
          </w:tcPr>
          <w:p w14:paraId="0631AC0B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交易日</w:t>
            </w:r>
          </w:p>
        </w:tc>
        <w:tc>
          <w:tcPr>
            <w:tcW w:w="1604" w:type="dxa"/>
            <w:vAlign w:val="center"/>
          </w:tcPr>
          <w:p w14:paraId="2C5D81A6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244 日</w:t>
            </w:r>
          </w:p>
        </w:tc>
        <w:tc>
          <w:tcPr>
            <w:tcW w:w="1000" w:type="dxa"/>
            <w:vAlign w:val="center"/>
          </w:tcPr>
          <w:p w14:paraId="0DCE64A3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设定</w:t>
            </w:r>
          </w:p>
        </w:tc>
        <w:tc>
          <w:tcPr>
            <w:tcW w:w="4101" w:type="dxa"/>
            <w:vAlign w:val="center"/>
          </w:tcPr>
          <w:p w14:paraId="7A866617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年度观察窗口</w:t>
            </w:r>
          </w:p>
        </w:tc>
      </w:tr>
      <w:tr w14:paraId="0876BED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vAlign w:val="center"/>
          </w:tcPr>
          <w:p w14:paraId="41792532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路径数</w:t>
            </w:r>
          </w:p>
        </w:tc>
        <w:tc>
          <w:tcPr>
            <w:tcW w:w="1604" w:type="dxa"/>
            <w:vAlign w:val="center"/>
          </w:tcPr>
          <w:p w14:paraId="2ED15153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80,000</w:t>
            </w:r>
          </w:p>
        </w:tc>
        <w:tc>
          <w:tcPr>
            <w:tcW w:w="1000" w:type="dxa"/>
            <w:vAlign w:val="center"/>
          </w:tcPr>
          <w:p w14:paraId="67D6674B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—</w:t>
            </w:r>
          </w:p>
        </w:tc>
        <w:tc>
          <w:tcPr>
            <w:tcW w:w="4101" w:type="dxa"/>
            <w:vAlign w:val="center"/>
          </w:tcPr>
          <w:p w14:paraId="2A0A60CF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蒙特卡洛</w:t>
            </w:r>
          </w:p>
        </w:tc>
      </w:tr>
      <w:tr w14:paraId="5B06F4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vAlign w:val="center"/>
          </w:tcPr>
          <w:p w14:paraId="63152212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商业可行判据</w:t>
            </w:r>
          </w:p>
        </w:tc>
        <w:tc>
          <w:tcPr>
            <w:tcW w:w="1604" w:type="dxa"/>
            <w:vAlign w:val="center"/>
          </w:tcPr>
          <w:p w14:paraId="7CF5ECB3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全额承保保费 ≤ 89 元/吨</w:t>
            </w:r>
          </w:p>
        </w:tc>
        <w:tc>
          <w:tcPr>
            <w:tcW w:w="1000" w:type="dxa"/>
            <w:vAlign w:val="center"/>
          </w:tcPr>
          <w:p w14:paraId="1D0C1B8F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设定</w:t>
            </w:r>
          </w:p>
        </w:tc>
        <w:tc>
          <w:tcPr>
            <w:tcW w:w="4101" w:type="dxa"/>
            <w:vAlign w:val="center"/>
          </w:tcPr>
          <w:p w14:paraId="53526021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与份额无关的绝对上限</w:t>
            </w:r>
          </w:p>
        </w:tc>
      </w:tr>
    </w:tbl>
    <w:p w14:paraId="1A6E9614">
      <w:pPr>
        <w:spacing w:after="120" w:line="240" w:lineRule="auto"/>
        <w:ind w:firstLine="0"/>
      </w:pPr>
      <w:r>
        <w:t xml:space="preserve"> </w:t>
      </w:r>
    </w:p>
    <w:p w14:paraId="3CD85BF3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符号</w:t>
      </w:r>
      <w:r>
        <w:rPr>
          <w:rFonts w:ascii="Times New Roman" w:hAnsi="Times New Roman" w:eastAsia="宋体" w:cs="Times New Roman"/>
          <w:color w:val="000000"/>
        </w:rPr>
        <w:t>：</w:t>
      </w:r>
      <m:oMath>
        <m:sSub>
          <m:sSubPr/>
          <m:e>
            <m:r>
              <m:rPr/>
              <m:t>P</m:t>
            </m:r>
          </m:e>
          <m:sub>
            <m:r>
              <m:rPr/>
              <m:t>t</m:t>
            </m:r>
          </m:sub>
        </m:sSub>
      </m:oMath>
      <w:r>
        <w:rPr>
          <w:rFonts w:ascii="Times New Roman" w:hAnsi="Times New Roman" w:eastAsia="宋体" w:cs="Times New Roman"/>
          <w:color w:val="000000"/>
        </w:rPr>
        <w:t xml:space="preserve"> 碳配额成交价；</w:t>
      </w:r>
      <m:oMath>
        <m:sSub>
          <m:sSubPr/>
          <m:e>
            <m:r>
              <m:rPr/>
              <m:t>Q</m:t>
            </m:r>
          </m:e>
          <m:sub>
            <m:r>
              <m:rPr/>
              <m:t>t</m:t>
            </m:r>
          </m:sub>
        </m:sSub>
      </m:oMath>
      <w:r>
        <w:rPr>
          <w:rFonts w:ascii="Times New Roman" w:hAnsi="Times New Roman" w:eastAsia="宋体" w:cs="Times New Roman"/>
          <w:color w:val="000000"/>
        </w:rPr>
        <w:t xml:space="preserve"> 缺口量（归一，</w:t>
      </w:r>
      <m:oMath>
        <m:sSub>
          <m:sSubPr/>
          <m:e>
            <m:r>
              <m:rPr/>
              <m:t>Q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ascii="Times New Roman" w:hAnsi="Times New Roman" w:eastAsia="宋体" w:cs="Times New Roman"/>
          <w:color w:val="000000"/>
        </w:rPr>
        <w:t>）；</w:t>
      </w:r>
      <m:oMath>
        <m:r>
          <m:rPr/>
          <m:t>D</m:t>
        </m:r>
      </m:oMath>
      <w:r>
        <w:rPr>
          <w:rFonts w:ascii="Times New Roman" w:hAnsi="Times New Roman" w:eastAsia="宋体" w:cs="Times New Roman"/>
          <w:color w:val="000000"/>
        </w:rPr>
        <w:t xml:space="preserve"> / </w:t>
      </w:r>
      <m:oMath>
        <m:r>
          <m:rPr/>
          <m:t>A</m:t>
        </m:r>
      </m:oMath>
      <w:r>
        <w:rPr>
          <w:rFonts w:ascii="Times New Roman" w:hAnsi="Times New Roman" w:eastAsia="宋体" w:cs="Times New Roman"/>
          <w:color w:val="000000"/>
        </w:rPr>
        <w:t xml:space="preserve"> 分位免赔 / 封顶。</w:t>
      </w:r>
    </w:p>
    <w:p w14:paraId="1B664D03">
      <w:pPr>
        <w:pBdr>
          <w:bottom w:val="single" w:color="000000" w:sz="6" w:space="1"/>
        </w:pBdr>
        <w:spacing w:before="40" w:after="120"/>
        <w:ind w:firstLine="0"/>
      </w:pPr>
    </w:p>
    <w:p w14:paraId="752CBDF6">
      <w:pPr>
        <w:pStyle w:val="4"/>
        <w:ind w:firstLine="0"/>
        <w:jc w:val="left"/>
      </w:pPr>
      <w:bookmarkStart w:id="2" w:name="_Toc26784"/>
      <w:r>
        <w:rPr>
          <w:rFonts w:ascii="Times New Roman" w:hAnsi="Times New Roman" w:eastAsia="黑体" w:cs="Times New Roman"/>
          <w:b/>
          <w:color w:val="000000"/>
          <w:sz w:val="32"/>
        </w:rPr>
        <w:t>摘要</w:t>
      </w:r>
      <w:bookmarkEnd w:id="2"/>
    </w:p>
    <w:p w14:paraId="3DC5B3A5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>本文为全国碳排放权交易市场设计一个可缔约的价格跃升保险：</w:t>
      </w:r>
      <w:r>
        <w:rPr>
          <w:rFonts w:ascii="Times New Roman" w:hAnsi="Times New Roman" w:eastAsia="黑体" w:cs="Times New Roman"/>
          <w:b/>
          <w:color w:val="000000"/>
        </w:rPr>
        <w:t>长期碳排放权价格跃升保险</w:t>
      </w:r>
      <w:r>
        <w:rPr>
          <w:rFonts w:ascii="Times New Roman" w:hAnsi="Times New Roman" w:eastAsia="宋体" w:cs="Times New Roman"/>
          <w:color w:val="000000"/>
        </w:rPr>
        <w:t>。产品以控排企业为覆盖其年度配额缺口而发生的</w:t>
      </w:r>
      <w:r>
        <w:rPr>
          <w:rFonts w:ascii="Times New Roman" w:hAnsi="Times New Roman" w:eastAsia="黑体" w:cs="Times New Roman"/>
          <w:b/>
          <w:color w:val="000000"/>
        </w:rPr>
        <w:t>履约成本</w:t>
      </w:r>
      <w:r>
        <w:rPr>
          <w:rFonts w:ascii="Times New Roman" w:hAnsi="Times New Roman" w:eastAsia="宋体" w:cs="Times New Roman"/>
          <w:color w:val="000000"/>
        </w:rPr>
        <w:t>为保险标的，以</w:t>
      </w:r>
      <w:r>
        <w:rPr>
          <w:rFonts w:ascii="Times New Roman" w:hAnsi="Times New Roman" w:eastAsia="黑体" w:cs="Times New Roman"/>
          <w:b/>
          <w:color w:val="000000"/>
        </w:rPr>
        <w:t xml:space="preserve">配额成交价 </w:t>
      </w:r>
      <m:oMath>
        <m:r>
          <m:rPr/>
          <m:t>P</m:t>
        </m:r>
      </m:oMath>
      <w:r>
        <w:rPr>
          <w:rFonts w:ascii="Times New Roman" w:hAnsi="Times New Roman" w:eastAsia="黑体" w:cs="Times New Roman"/>
          <w:b/>
          <w:color w:val="000000"/>
        </w:rPr>
        <w:t xml:space="preserve"> 的年度跃升</w:t>
      </w:r>
      <w:r>
        <w:rPr>
          <w:rFonts w:ascii="Times New Roman" w:hAnsi="Times New Roman" w:eastAsia="宋体" w:cs="Times New Roman"/>
          <w:color w:val="000000"/>
        </w:rPr>
        <w:t>为触发因子，一年期、逐年订立、逐年重定价。</w:t>
      </w:r>
    </w:p>
    <w:p w14:paraId="171B1FFF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三项结构性设计</w:t>
      </w:r>
      <w:r>
        <w:rPr>
          <w:rFonts w:ascii="Times New Roman" w:hAnsi="Times New Roman" w:eastAsia="宋体" w:cs="Times New Roman"/>
          <w:color w:val="000000"/>
        </w:rPr>
        <w:t>：</w:t>
      </w:r>
    </w:p>
    <w:p w14:paraId="020BD575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其一，标的等于被保对象。</w:t>
      </w:r>
      <w:r>
        <w:rPr>
          <w:rFonts w:ascii="Times New Roman" w:hAnsi="Times New Roman" w:eastAsia="宋体" w:cs="Times New Roman"/>
          <w:color w:val="000000"/>
        </w:rPr>
        <w:t xml:space="preserve"> 赔付 = </w:t>
      </w:r>
      <m:oMath>
        <m:r>
          <m:rPr/>
          <m:t>α</m:t>
        </m:r>
        <m:r>
          <m:rPr>
            <m:sty m:val="p"/>
          </m:rPr>
          <m:t>⋅min{</m:t>
        </m:r>
        <m:nary>
          <m:naryPr>
            <m:chr m:val="∑"/>
            <m:limLoc m:val="undOvr"/>
            <m:supHide m:val="1"/>
          </m:naryPr>
          <m:sub>
            <m:r>
              <m:rPr/>
              <m:t>d</m:t>
            </m:r>
          </m:sub>
          <m:sup>
            <m:r>
              <m:rPr/>
              <m:t>​</m:t>
            </m:r>
          </m:sup>
          <m:e>
            <m:r>
              <m:rPr>
                <m:sty m:val="p"/>
              </m:rPr>
              <m:t>max</m:t>
            </m:r>
          </m:e>
        </m:nary>
        <m:r>
          <m:rPr>
            <m:sty m:val="p"/>
          </m:rPr>
          <m:t>(</m:t>
        </m:r>
        <m:sSub>
          <m:sSubPr/>
          <m:e>
            <m:r>
              <m:rPr/>
              <m:t>P</m:t>
            </m:r>
          </m:e>
          <m:sub>
            <m:r>
              <m:rPr/>
              <m:t>d</m:t>
            </m:r>
          </m:sub>
        </m:sSub>
        <m:r>
          <m:rPr>
            <m:sty m:val="p"/>
          </m:rPr>
          <m:t>−</m:t>
        </m:r>
        <m:r>
          <m:rPr/>
          <m:t>κ</m:t>
        </m:r>
        <m:sSub>
          <m:sSubPr/>
          <m:e>
            <m:r>
              <m:rPr/>
              <m:t>P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),</m:t>
        </m:r>
        <m:r>
          <m:rPr/>
          <m:t> 2</m:t>
        </m:r>
        <m:sSub>
          <m:sSubPr/>
          <m:e>
            <m:r>
              <m:rPr/>
              <m:t>P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}</m:t>
        </m:r>
      </m:oMath>
      <w:r>
        <w:rPr>
          <w:rFonts w:ascii="Times New Roman" w:hAnsi="Times New Roman" w:eastAsia="宋体" w:cs="Times New Roman"/>
          <w:color w:val="000000"/>
        </w:rPr>
        <w:t xml:space="preserve">，乘以缺口量 </w:t>
      </w:r>
      <m:oMath>
        <m:r>
          <m:rPr/>
          <m:t>Q</m:t>
        </m:r>
      </m:oMath>
      <w:r>
        <w:rPr>
          <w:rFonts w:ascii="Times New Roman" w:hAnsi="Times New Roman" w:eastAsia="宋体" w:cs="Times New Roman"/>
          <w:color w:val="000000"/>
        </w:rPr>
        <w:t xml:space="preserve">；企业报表上的支出是 </w:t>
      </w:r>
      <m:oMath>
        <m:sSub>
          <m:sSubPr/>
          <m:e>
            <m:r>
              <m:rPr/>
              <m:t>P</m:t>
            </m:r>
          </m:e>
          <m:sub>
            <m:r>
              <m:rPr/>
              <m:t>d</m:t>
            </m:r>
          </m:sub>
        </m:sSub>
        <m:sSub>
          <m:sSubPr/>
          <m:e>
            <m:r>
              <m:rPr/>
              <m:t>Q</m:t>
            </m:r>
          </m:e>
          <m:sub>
            <m:r>
              <m:rPr/>
              <m:t>d</m:t>
            </m:r>
          </m:sub>
        </m:sSub>
      </m:oMath>
      <w:r>
        <w:rPr>
          <w:rFonts w:ascii="Times New Roman" w:hAnsi="Times New Roman" w:eastAsia="宋体" w:cs="Times New Roman"/>
          <w:color w:val="000000"/>
        </w:rPr>
        <w:t>，两者同为「价×量」结构。</w:t>
      </w:r>
      <w:r>
        <w:rPr>
          <w:rFonts w:ascii="Times New Roman" w:hAnsi="Times New Roman" w:eastAsia="黑体" w:cs="Times New Roman"/>
          <w:b/>
          <w:color w:val="000000"/>
        </w:rPr>
        <w:t>但须诚实说明</w:t>
      </w:r>
      <w:r>
        <w:rPr>
          <w:rFonts w:ascii="Times New Roman" w:hAnsi="Times New Roman" w:eastAsia="宋体" w:cs="Times New Roman"/>
          <w:color w:val="000000"/>
        </w:rPr>
        <w:t xml:space="preserve">：本文的 </w:t>
      </w:r>
      <m:oMath>
        <m:r>
          <m:rPr/>
          <m:t>Q</m:t>
        </m:r>
      </m:oMath>
      <w:r>
        <w:rPr>
          <w:rFonts w:ascii="Times New Roman" w:hAnsi="Times New Roman" w:eastAsia="宋体" w:cs="Times New Roman"/>
          <w:color w:val="000000"/>
        </w:rPr>
        <w:t xml:space="preserve"> 未建模随机过程（按确定性比例处理，敏感性见 §4.4），故"基差风险低"这一判断</w:t>
      </w:r>
      <w:r>
        <w:rPr>
          <w:rFonts w:ascii="Times New Roman" w:hAnsi="Times New Roman" w:eastAsia="黑体" w:cs="Times New Roman"/>
          <w:b/>
          <w:color w:val="000000"/>
        </w:rPr>
        <w:t>尚无计量支撑</w:t>
      </w:r>
      <w:r>
        <w:rPr>
          <w:rFonts w:ascii="Times New Roman" w:hAnsi="Times New Roman" w:eastAsia="宋体" w:cs="Times New Roman"/>
          <w:color w:val="000000"/>
        </w:rPr>
        <w:t>，须以经验数据回校（§5.2）。</w:t>
      </w:r>
    </w:p>
    <w:p w14:paraId="66366F76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其二，承保必要性由独立实证支撑，而非定价假设给定。</w:t>
      </w:r>
      <w:r>
        <w:rPr>
          <w:rFonts w:ascii="Times New Roman" w:hAnsi="Times New Roman" w:eastAsia="宋体" w:cs="Times New Roman"/>
          <w:color w:val="000000"/>
        </w:rPr>
        <w:t xml:space="preserve"> 本文以二次型方向距离函数测算的影子价格（MAC）度量碳价对真实减排成本的覆盖程度，得缺口倍数 </w:t>
      </w:r>
      <m:oMath>
        <m:r>
          <m:rPr/>
          <m:t>m</m:t>
        </m:r>
        <m:r>
          <m:rPr>
            <m:sty m:val="p"/>
          </m:rPr>
          <m:t>=</m:t>
        </m:r>
        <m:r>
          <m:rPr>
            <m:nor/>
            <m:sty m:val="p"/>
          </m:rPr>
          <m:t>MAC</m:t>
        </m:r>
        <m:r>
          <m:rPr>
            <m:sty m:val="p"/>
          </m:rPr>
          <m:t>/</m:t>
        </m:r>
        <m:r>
          <m:rPr/>
          <m:t>P</m:t>
        </m:r>
      </m:oMath>
      <w:r>
        <w:rPr>
          <w:rFonts w:ascii="Times New Roman" w:hAnsi="Times New Roman" w:eastAsia="宋体" w:cs="Times New Roman"/>
          <w:color w:val="000000"/>
        </w:rPr>
        <w:t xml:space="preserve"> 在定价锚年的稳健区间 </w:t>
      </w:r>
      <w:r>
        <w:rPr>
          <w:rFonts w:ascii="Times New Roman" w:hAnsi="Times New Roman" w:eastAsia="黑体" w:cs="Times New Roman"/>
          <w:b/>
          <w:color w:val="000000"/>
        </w:rPr>
        <w:t>[1.06, 3.14]</w:t>
      </w:r>
      <w:r>
        <w:rPr>
          <w:rFonts w:ascii="Times New Roman" w:hAnsi="Times New Roman" w:eastAsia="宋体" w:cs="Times New Roman"/>
          <w:color w:val="000000"/>
        </w:rPr>
        <w:t xml:space="preserve">。下界对应最不利模型扰动（资本投入 +5% ⇒ MAC −20.0%），上界对应最宽样本剔除口径（30 省剔除 10 个负 </w:t>
      </w:r>
      <m:oMath>
        <m:r>
          <m:rPr/>
          <m:t>u</m:t>
        </m:r>
      </m:oMath>
      <w:r>
        <w:rPr>
          <w:rFonts w:ascii="Times New Roman" w:hAnsi="Times New Roman" w:eastAsia="宋体" w:cs="Times New Roman"/>
          <w:color w:val="000000"/>
        </w:rPr>
        <w:t xml:space="preserve"> 省，MAC 由 56.0 变132.9）。</w:t>
      </w:r>
      <w:r>
        <w:rPr>
          <w:rFonts w:ascii="Times New Roman" w:hAnsi="Times New Roman" w:eastAsia="黑体" w:cs="Times New Roman"/>
          <w:b/>
          <w:color w:val="000000"/>
        </w:rPr>
        <w:t xml:space="preserve">两种口径下 </w:t>
      </w:r>
      <m:oMath>
        <m:r>
          <m:rPr/>
          <m:t>m</m:t>
        </m:r>
      </m:oMath>
      <w:r>
        <w:rPr>
          <w:rFonts w:ascii="Times New Roman" w:hAnsi="Times New Roman" w:eastAsia="黑体" w:cs="Times New Roman"/>
          <w:b/>
          <w:color w:val="000000"/>
        </w:rPr>
        <w:t xml:space="preserve"> 均大于 1</w:t>
      </w:r>
      <w:r>
        <w:rPr>
          <w:rFonts w:ascii="Times New Roman" w:hAnsi="Times New Roman" w:eastAsia="宋体" w:cs="Times New Roman"/>
          <w:color w:val="000000"/>
        </w:rPr>
        <w:t xml:space="preserve">，即碳价系统性低于真实减排成本。MAC </w:t>
      </w:r>
      <w:r>
        <w:rPr>
          <w:rFonts w:ascii="Times New Roman" w:hAnsi="Times New Roman" w:eastAsia="黑体" w:cs="Times New Roman"/>
          <w:b/>
          <w:color w:val="000000"/>
        </w:rPr>
        <w:t>不作为触发因子</w:t>
      </w:r>
      <w:r>
        <w:rPr>
          <w:rFonts w:ascii="Times New Roman" w:hAnsi="Times New Roman" w:eastAsia="宋体" w:cs="Times New Roman"/>
          <w:color w:val="000000"/>
        </w:rPr>
        <w:t>——方向向量自由度使同一份面板产生 4.32 倍度量区间，任何单点值都不具备写入条款的精度。</w:t>
      </w:r>
    </w:p>
    <w:p w14:paraId="27C4ED76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其三，责任上限与保费为比例式。</w:t>
      </w:r>
      <w:r>
        <w:rPr>
          <w:rFonts w:ascii="Times New Roman" w:hAnsi="Times New Roman" w:eastAsia="宋体" w:cs="Times New Roman"/>
          <w:color w:val="000000"/>
        </w:rPr>
        <w:t xml:space="preserve"> 定额上限在碳价跃迁至 5 倍时</w:t>
      </w:r>
      <w:r>
        <w:rPr>
          <w:rFonts w:ascii="Times New Roman" w:hAnsi="Times New Roman" w:eastAsia="黑体" w:cs="Times New Roman"/>
          <w:b/>
          <w:color w:val="000000"/>
        </w:rPr>
        <w:t>赔付归零</w:t>
      </w:r>
      <w:r>
        <w:rPr>
          <w:rFonts w:ascii="Times New Roman" w:hAnsi="Times New Roman" w:eastAsia="宋体" w:cs="Times New Roman"/>
          <w:color w:val="000000"/>
        </w:rPr>
        <w:t>（引擎实测，期望赔付 0.000）；比例上限同期仍有效（0.394 元/吨）。费率随保额同步放大而</w:t>
      </w:r>
      <w:r>
        <w:rPr>
          <w:rFonts w:ascii="Times New Roman" w:hAnsi="Times New Roman" w:eastAsia="黑体" w:cs="Times New Roman"/>
          <w:b/>
          <w:color w:val="000000"/>
        </w:rPr>
        <w:t>下降</w:t>
      </w:r>
      <w:r>
        <w:rPr>
          <w:rFonts w:ascii="Times New Roman" w:hAnsi="Times New Roman" w:eastAsia="宋体" w:cs="Times New Roman"/>
          <w:color w:val="000000"/>
        </w:rPr>
        <w:t>，保障性价比随价格上涨而提升。</w:t>
      </w:r>
    </w:p>
    <w:p w14:paraId="40431280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定价</w:t>
      </w:r>
      <w:r>
        <w:rPr>
          <w:rFonts w:ascii="Times New Roman" w:hAnsi="Times New Roman" w:eastAsia="宋体" w:cs="Times New Roman"/>
          <w:color w:val="000000"/>
        </w:rPr>
        <w:t>：基准条款（</w:t>
      </w:r>
      <m:oMath>
        <m:r>
          <m:rPr/>
          <m:t>α</m:t>
        </m:r>
        <m:r>
          <m:rPr>
            <m:sty m:val="p"/>
          </m:rPr>
          <m:t>=</m:t>
        </m:r>
        <m:r>
          <m:rPr/>
          <m:t>10</m:t>
        </m:r>
        <m:r>
          <m:rPr>
            <m:sty m:val="p"/>
          </m:rPr>
          <m:t>%</m:t>
        </m:r>
      </m:oMath>
      <w:r>
        <w:rPr>
          <w:rFonts w:ascii="Times New Roman" w:hAnsi="Times New Roman" w:eastAsia="宋体" w:cs="Times New Roman"/>
          <w:color w:val="000000"/>
        </w:rPr>
        <w:t>、</w:t>
      </w:r>
      <m:oMath>
        <m:r>
          <m:rPr/>
          <m:t>κ</m:t>
        </m:r>
        <m:r>
          <m:rPr>
            <m:sty m:val="p"/>
          </m:rPr>
          <m:t>=</m:t>
        </m:r>
        <m:r>
          <m:rPr/>
          <m:t>1.30</m:t>
        </m:r>
      </m:oMath>
      <w:r>
        <w:rPr>
          <w:rFonts w:ascii="Times New Roman" w:hAnsi="Times New Roman" w:eastAsia="宋体" w:cs="Times New Roman"/>
          <w:color w:val="000000"/>
        </w:rPr>
        <w:t>、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/>
          <m:t>5</m:t>
        </m:r>
      </m:oMath>
      <w:r>
        <w:rPr>
          <w:rFonts w:ascii="Times New Roman" w:hAnsi="Times New Roman" w:eastAsia="宋体" w:cs="Times New Roman"/>
          <w:color w:val="000000"/>
        </w:rPr>
        <w:t>、</w:t>
      </w:r>
      <m:oMath>
        <m:sSub>
          <m:sSubPr/>
          <m:e>
            <m:r>
              <m:rPr/>
              <m:t>q</m:t>
            </m:r>
          </m:e>
          <m:sub>
            <m:r>
              <m:rPr/>
              <m:t>75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q</m:t>
            </m:r>
          </m:e>
          <m:sub>
            <m:r>
              <m:rPr/>
              <m:t>99.5</m:t>
            </m:r>
          </m:sub>
        </m:sSub>
      </m:oMath>
      <w:r>
        <w:rPr>
          <w:rFonts w:ascii="Times New Roman" w:hAnsi="Times New Roman" w:eastAsia="宋体" w:cs="Times New Roman"/>
          <w:color w:val="000000"/>
        </w:rPr>
        <w:t xml:space="preserve">）下首年毛保费 </w:t>
      </w:r>
      <w:r>
        <w:rPr>
          <w:rFonts w:ascii="Times New Roman" w:hAnsi="Times New Roman" w:eastAsia="黑体" w:cs="Times New Roman"/>
          <w:b/>
          <w:color w:val="000000"/>
        </w:rPr>
        <w:t>0.508 元/吨配额</w:t>
      </w:r>
      <w:r>
        <w:rPr>
          <w:rFonts w:ascii="Times New Roman" w:hAnsi="Times New Roman" w:eastAsia="宋体" w:cs="Times New Roman"/>
          <w:color w:val="000000"/>
        </w:rPr>
        <w:t xml:space="preserve">（费率 0.26%），期望赔付 0.237 元/吨，赔付率 46.6%，触发频率 32.8%（80,000 路径；§3.4 的触发次数上限比较另用 40,000 路径，故该表数字末位略有差异）。全额承保报价 </w:t>
      </w:r>
      <w:r>
        <w:rPr>
          <w:rFonts w:ascii="Times New Roman" w:hAnsi="Times New Roman" w:eastAsia="黑体" w:cs="Times New Roman"/>
          <w:b/>
          <w:color w:val="000000"/>
        </w:rPr>
        <w:t>5.076 元/吨</w:t>
      </w:r>
      <w:r>
        <w:rPr>
          <w:rFonts w:ascii="Times New Roman" w:hAnsi="Times New Roman" w:eastAsia="宋体" w:cs="Times New Roman"/>
          <w:color w:val="000000"/>
        </w:rPr>
        <w:t xml:space="preserve">，低于 89 元/吨判据 —— </w:t>
      </w:r>
      <w:r>
        <w:rPr>
          <w:rFonts w:ascii="Times New Roman" w:hAnsi="Times New Roman" w:eastAsia="黑体" w:cs="Times New Roman"/>
          <w:b/>
          <w:color w:val="000000"/>
        </w:rPr>
        <w:t>份额承保不是可行性杠杆，而是投保人的风险自留选择</w:t>
      </w:r>
      <w:r>
        <w:rPr>
          <w:rFonts w:ascii="Times New Roman" w:hAnsi="Times New Roman" w:eastAsia="宋体" w:cs="Times New Roman"/>
          <w:color w:val="000000"/>
        </w:rPr>
        <w:t xml:space="preserve">。12 个 </w:t>
      </w:r>
      <m:oMath>
        <m:r>
          <m:rPr>
            <m:sty m:val="p"/>
          </m:rPr>
          <m:t>(</m:t>
        </m:r>
        <m:sSub>
          <m:sSubPr/>
          <m:e>
            <m:r>
              <m:rPr/>
              <m:t>σ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σ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 w:cs="Times New Roman"/>
          <w:color w:val="000000"/>
        </w:rPr>
        <w:t xml:space="preserve"> 档位费率 0.15%–0.34%。</w:t>
      </w:r>
    </w:p>
    <w:p w14:paraId="39CC64E4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日度累计相对年末单点的增量</w:t>
      </w:r>
      <w:r>
        <w:rPr>
          <w:rFonts w:ascii="Times New Roman" w:hAnsi="Times New Roman" w:eastAsia="宋体" w:cs="Times New Roman"/>
          <w:color w:val="000000"/>
        </w:rPr>
        <w:t>：碳价年中冲高至 159 元后回落至年末 97.90 元时，</w:t>
      </w:r>
      <w:r>
        <w:rPr>
          <w:rFonts w:ascii="Times New Roman" w:hAnsi="Times New Roman" w:eastAsia="黑体" w:cs="Times New Roman"/>
          <w:b/>
          <w:color w:val="000000"/>
        </w:rPr>
        <w:t>年末口径赔付 0，日度口径赔付 19.58 元/吨</w:t>
      </w:r>
      <w:r>
        <w:rPr>
          <w:rFonts w:ascii="Times New Roman" w:hAnsi="Times New Roman" w:eastAsia="宋体" w:cs="Times New Roman"/>
          <w:color w:val="000000"/>
        </w:rPr>
        <w:t xml:space="preserve"> —— 时间错配缺口 19.58 元。这是选择日度口径的直接依据。</w:t>
      </w:r>
    </w:p>
    <w:p w14:paraId="612989DC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本文明确四项局限</w:t>
      </w:r>
      <w:r>
        <w:rPr>
          <w:rFonts w:ascii="Times New Roman" w:hAnsi="Times New Roman" w:eastAsia="宋体" w:cs="Times New Roman"/>
          <w:color w:val="000000"/>
        </w:rPr>
        <w:t>：其一，</w:t>
      </w:r>
      <w:r>
        <w:rPr>
          <w:rFonts w:ascii="Times New Roman" w:hAnsi="Times New Roman" w:eastAsia="黑体" w:cs="Times New Roman"/>
          <w:b/>
          <w:color w:val="000000"/>
        </w:rPr>
        <w:t>分位层在「低频高损」情形退化为零覆盖</w:t>
      </w:r>
      <w:r>
        <w:rPr>
          <w:rFonts w:ascii="Times New Roman" w:hAnsi="Times New Roman" w:eastAsia="宋体" w:cs="Times New Roman"/>
          <w:color w:val="000000"/>
        </w:rPr>
        <w:t>（压力测试三档覆盖率均为 0），绝对免赔口径亦仅 0.3%–1.6%，因责任上限相对赔付需求严重不足；其二，赔付率 46.5% 对应综合成本率 58.5%，低于财产险行业经验区间，成因为波动率假设保守与分散因子已取保守值1.00；其三，义务量递增风险</w:t>
      </w:r>
      <w:r>
        <w:rPr>
          <w:rFonts w:ascii="Times New Roman" w:hAnsi="Times New Roman" w:eastAsia="黑体" w:cs="Times New Roman"/>
          <w:b/>
          <w:color w:val="000000"/>
        </w:rPr>
        <w:t>不可保</w:t>
      </w:r>
      <w:r>
        <w:rPr>
          <w:rFonts w:ascii="Times New Roman" w:hAnsi="Times New Roman" w:eastAsia="宋体" w:cs="Times New Roman"/>
          <w:color w:val="000000"/>
        </w:rPr>
        <w:t>（风险在投保人控制之下且量级微小）；其四，碳期货推出后本产品空间将压缩至履约季流动性一项，</w:t>
      </w:r>
      <w:r>
        <w:rPr>
          <w:rFonts w:ascii="Times New Roman" w:hAnsi="Times New Roman" w:eastAsia="黑体" w:cs="Times New Roman"/>
          <w:b/>
          <w:color w:val="000000"/>
        </w:rPr>
        <w:t>退市条件已明写</w:t>
      </w:r>
      <w:r>
        <w:rPr>
          <w:rFonts w:ascii="Times New Roman" w:hAnsi="Times New Roman" w:eastAsia="宋体" w:cs="Times New Roman"/>
          <w:color w:val="000000"/>
        </w:rPr>
        <w:t>。</w:t>
      </w:r>
    </w:p>
    <w:p w14:paraId="26F84AB4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关键词</w:t>
      </w:r>
      <w:r>
        <w:rPr>
          <w:rFonts w:ascii="Times New Roman" w:hAnsi="Times New Roman" w:eastAsia="宋体" w:cs="Times New Roman"/>
          <w:color w:val="000000"/>
        </w:rPr>
        <w:t>：碳排放权交易；履约成本；价格跃升保险；比例式责任上限；日度累计赔付；一年期</w:t>
      </w:r>
    </w:p>
    <w:p w14:paraId="30F3564C">
      <w:pPr>
        <w:pBdr>
          <w:bottom w:val="single" w:color="000000" w:sz="6" w:space="1"/>
        </w:pBdr>
        <w:spacing w:before="40" w:after="120"/>
        <w:ind w:firstLine="0"/>
      </w:pPr>
    </w:p>
    <w:p w14:paraId="7A25AC13">
      <w:pPr>
        <w:pStyle w:val="4"/>
        <w:ind w:firstLine="0"/>
        <w:jc w:val="left"/>
      </w:pPr>
      <w:bookmarkStart w:id="3" w:name="_Toc2431"/>
      <w:r>
        <w:rPr>
          <w:rFonts w:ascii="Times New Roman" w:hAnsi="Times New Roman" w:eastAsia="黑体" w:cs="Times New Roman"/>
          <w:b/>
          <w:color w:val="000000"/>
          <w:sz w:val="32"/>
        </w:rPr>
        <w:t>一、险种定义与边界</w:t>
      </w:r>
      <w:bookmarkEnd w:id="3"/>
    </w:p>
    <w:p w14:paraId="453ED36E">
      <w:pPr>
        <w:pStyle w:val="5"/>
        <w:ind w:firstLine="0"/>
        <w:jc w:val="left"/>
      </w:pPr>
      <w:bookmarkStart w:id="4" w:name="_Toc15674"/>
      <w:r>
        <w:rPr>
          <w:rFonts w:ascii="Times New Roman" w:hAnsi="Times New Roman" w:eastAsia="黑体" w:cs="Times New Roman"/>
          <w:b/>
          <w:color w:val="000000"/>
          <w:sz w:val="28"/>
        </w:rPr>
        <w:t>1.1 定义与四个要件</w:t>
      </w:r>
      <w:bookmarkEnd w:id="4"/>
    </w:p>
    <w:p w14:paraId="372BC650">
      <w:pPr>
        <w:pBdr>
          <w:left w:val="single" w:color="808080" w:sz="6" w:space="8"/>
        </w:pBdr>
        <w:spacing w:after="40" w:line="312" w:lineRule="auto"/>
        <w:ind w:left="400" w:firstLine="0"/>
      </w:pPr>
      <w:r>
        <w:rPr>
          <w:rFonts w:ascii="Times New Roman" w:hAnsi="Times New Roman" w:eastAsia="黑体" w:cs="Times New Roman"/>
          <w:b/>
          <w:color w:val="000000"/>
          <w:sz w:val="21"/>
        </w:rPr>
        <w:t xml:space="preserve">以控排企业为覆盖其年度配额缺口而发生的履约成本为保险标的，以配额成交价 </w:t>
      </w:r>
      <m:oMath>
        <m:r>
          <m:rPr/>
          <m:t>P</m:t>
        </m:r>
      </m:oMath>
      <w:r>
        <w:rPr>
          <w:rFonts w:ascii="Times New Roman" w:hAnsi="Times New Roman" w:eastAsia="黑体" w:cs="Times New Roman"/>
          <w:b/>
          <w:color w:val="000000"/>
          <w:sz w:val="21"/>
        </w:rPr>
        <w:t xml:space="preserve"> 的年度跃升为触发因子，以一年期、逐年重定价为承保机制的指数型财产保险。</w:t>
      </w:r>
    </w:p>
    <w:p w14:paraId="2871C92A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其一，标的写"履约成本"而非"外购配额支出"，但二者在本产品中是同一个数。</w:t>
      </w:r>
      <w:r>
        <w:rPr>
          <w:rFonts w:ascii="Times New Roman" w:hAnsi="Times New Roman" w:eastAsia="宋体" w:cs="Times New Roman"/>
          <w:color w:val="000000"/>
        </w:rPr>
        <w:t xml:space="preserve"> 企业履约支出的唯一构成是配额采购，支出 </w:t>
      </w:r>
      <m:oMath>
        <m:r>
          <m:rPr>
            <m:sty m:val="p"/>
          </m:rPr>
          <m:t>=</m:t>
        </m:r>
        <m:sSub>
          <m:sSubPr/>
          <m:e>
            <m:r>
              <m:rPr/>
              <m:t>P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×</m:t>
        </m:r>
        <m:sSub>
          <m:sSubPr/>
          <m:e>
            <m:r>
              <m:rPr/>
              <m:t>Q</m:t>
            </m:r>
          </m:e>
          <m:sub>
            <m:r>
              <m:rPr/>
              <m:t>t</m:t>
            </m:r>
          </m:sub>
        </m:sSub>
      </m:oMath>
      <w:r>
        <w:rPr>
          <w:rFonts w:ascii="Times New Roman" w:hAnsi="Times New Roman" w:eastAsia="宋体" w:cs="Times New Roman"/>
          <w:color w:val="000000"/>
        </w:rPr>
        <w:t xml:space="preserve">。本产品按 </w:t>
      </w:r>
      <m:oMath>
        <m:r>
          <m:rPr/>
          <m:t>P</m:t>
        </m:r>
      </m:oMath>
      <w:r>
        <w:rPr>
          <w:rFonts w:ascii="Times New Roman" w:hAnsi="Times New Roman" w:eastAsia="宋体" w:cs="Times New Roman"/>
          <w:color w:val="000000"/>
        </w:rPr>
        <w:t xml:space="preserve"> 的跃升赔付、乘以 </w:t>
      </w:r>
      <m:oMath>
        <m:r>
          <m:rPr/>
          <m:t>Q</m:t>
        </m:r>
      </m:oMath>
      <w:r>
        <w:rPr>
          <w:rFonts w:ascii="Times New Roman" w:hAnsi="Times New Roman" w:eastAsia="宋体" w:cs="Times New Roman"/>
          <w:color w:val="000000"/>
        </w:rPr>
        <w:t>，赔的正是这项支出。</w:t>
      </w:r>
    </w:p>
    <w:p w14:paraId="2DD74403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其二，触发因子是"跃升"而非"水平"。</w:t>
      </w:r>
      <w:r>
        <w:rPr>
          <w:rFonts w:ascii="Times New Roman" w:hAnsi="Times New Roman" w:eastAsia="宋体" w:cs="Times New Roman"/>
          <w:color w:val="000000"/>
        </w:rPr>
        <w:t xml:space="preserve"> 企业持有配额可跨年结转，持续抬升的价格水平不构成可保损失；只有超出约定幅度的年度跃升才构成额外成本。赔付形式因此是 </w:t>
      </w:r>
      <m:oMath>
        <m:r>
          <m:rPr>
            <m:sty m:val="p"/>
          </m:rPr>
          <m:t>max(</m:t>
        </m:r>
        <m:sSub>
          <m:sSubPr/>
          <m:e>
            <m:r>
              <m:rPr/>
              <m:t>P</m:t>
            </m:r>
          </m:e>
          <m:sub>
            <m:r>
              <m:rPr/>
              <m:t>d</m:t>
            </m:r>
          </m:sub>
        </m:sSub>
        <m:r>
          <m:rPr>
            <m:sty m:val="p"/>
          </m:rPr>
          <m:t>−</m:t>
        </m:r>
        <m:r>
          <m:rPr/>
          <m:t>κ</m:t>
        </m:r>
        <m:sSub>
          <m:sSubPr/>
          <m:e>
            <m:r>
              <m:rPr/>
              <m:t>P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宋体" w:cs="Times New Roman"/>
          <w:color w:val="000000"/>
        </w:rPr>
        <w:t xml:space="preserve"> 而非 </w:t>
      </w:r>
      <m:oMath>
        <m:sSub>
          <m:sSubPr/>
          <m:e>
            <m:r>
              <m:rPr/>
              <m:t>P</m:t>
            </m:r>
          </m:e>
          <m:sub>
            <m:r>
              <m:rPr/>
              <m:t>d</m:t>
            </m:r>
          </m:sub>
        </m:sSub>
      </m:oMath>
      <w:r>
        <w:rPr>
          <w:rFonts w:ascii="Times New Roman" w:hAnsi="Times New Roman" w:eastAsia="宋体" w:cs="Times New Roman"/>
          <w:color w:val="000000"/>
        </w:rPr>
        <w:t>。</w:t>
      </w:r>
    </w:p>
    <w:p w14:paraId="499ACC5B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其三，一年期不是精算被迫，是产品定位。</w:t>
      </w:r>
      <w:r>
        <w:rPr>
          <w:rFonts w:ascii="Times New Roman" w:hAnsi="Times New Roman" w:eastAsia="宋体" w:cs="Times New Roman"/>
          <w:color w:val="000000"/>
        </w:rP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/>
              <m:t>75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q</m:t>
            </m:r>
          </m:e>
          <m:sub>
            <m:r>
              <m:rPr/>
              <m:t>99.5</m:t>
            </m:r>
          </m:sub>
        </m:sSub>
      </m:oMath>
      <w:r>
        <w:rPr>
          <w:rFonts w:ascii="Times New Roman" w:hAnsi="Times New Roman" w:eastAsia="宋体" w:cs="Times New Roman"/>
          <w:color w:val="000000"/>
        </w:rPr>
        <w:t xml:space="preserve"> 年度层依赖当年赔付分布，而当年分布依赖当年的 </w:t>
      </w:r>
      <m:oMath>
        <m:sSub>
          <m:sSubPr/>
          <m:e>
            <m:r>
              <m:rPr/>
              <m:t>σ</m:t>
            </m:r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eastAsia="宋体" w:cs="Times New Roman"/>
          <w:color w:val="000000"/>
        </w:rPr>
        <w:t xml:space="preserve"> 与政策情景。多年期若冻结层参数，等于用去年的分布承保今年的风险；若逐年重取，则价格承诺本就不存在。</w:t>
      </w:r>
      <w:r>
        <w:rPr>
          <w:rFonts w:ascii="Times New Roman" w:hAnsi="Times New Roman" w:eastAsia="黑体" w:cs="Times New Roman"/>
          <w:b/>
          <w:color w:val="000000"/>
        </w:rPr>
        <w:t>一年期把这个两难从条款争议转为机制安排</w:t>
      </w:r>
      <w:r>
        <w:rPr>
          <w:rFonts w:ascii="Times New Roman" w:hAnsi="Times New Roman" w:eastAsia="宋体" w:cs="Times New Roman"/>
          <w:color w:val="000000"/>
        </w:rPr>
        <w:t>（§5）。</w:t>
      </w:r>
    </w:p>
    <w:p w14:paraId="630232FB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其四，结构性禁止锁价。</w:t>
      </w:r>
      <w:r>
        <w:rPr>
          <w:rFonts w:ascii="Times New Roman" w:hAnsi="Times New Roman" w:eastAsia="宋体" w:cs="Times New Roman"/>
          <w:color w:val="000000"/>
        </w:rPr>
        <w:t xml:space="preserve"> 碳价是行政管制定价（配额总量与分配方法由主管部门年度公告），不服从市场出清。把价格承诺写入多年期保单，等于替企业承担了一个行政决定的变量。</w:t>
      </w:r>
    </w:p>
    <w:p w14:paraId="0BB57BC9">
      <w:pPr>
        <w:pStyle w:val="5"/>
        <w:ind w:firstLine="0"/>
        <w:jc w:val="left"/>
      </w:pPr>
      <w:bookmarkStart w:id="5" w:name="_Toc30191"/>
      <w:r>
        <w:rPr>
          <w:rFonts w:ascii="Times New Roman" w:hAnsi="Times New Roman" w:eastAsia="黑体" w:cs="Times New Roman"/>
          <w:b/>
          <w:color w:val="000000"/>
          <w:sz w:val="28"/>
        </w:rPr>
        <w:t>1.2 与相邻产品的边界</w:t>
      </w:r>
      <w:bookmarkEnd w:id="5"/>
    </w:p>
    <w:tbl>
      <w:tblPr>
        <w:tblStyle w:val="36"/>
        <w:tblW w:w="8278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9"/>
        <w:gridCol w:w="1108"/>
        <w:gridCol w:w="4101"/>
      </w:tblGrid>
      <w:tr w14:paraId="56F0D07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69" w:type="dxa"/>
            <w:tcBorders>
              <w:bottom w:val="single" w:color="000000" w:sz="6" w:space="0"/>
            </w:tcBorders>
            <w:vAlign w:val="center"/>
          </w:tcPr>
          <w:p w14:paraId="02D24BE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产品</w:t>
            </w:r>
          </w:p>
        </w:tc>
        <w:tc>
          <w:tcPr>
            <w:tcW w:w="1108" w:type="dxa"/>
            <w:tcBorders>
              <w:bottom w:val="single" w:color="000000" w:sz="6" w:space="0"/>
            </w:tcBorders>
            <w:vAlign w:val="center"/>
          </w:tcPr>
          <w:p w14:paraId="399CDCF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触发因子</w:t>
            </w:r>
          </w:p>
        </w:tc>
        <w:tc>
          <w:tcPr>
            <w:tcW w:w="4101" w:type="dxa"/>
            <w:tcBorders>
              <w:bottom w:val="single" w:color="000000" w:sz="6" w:space="0"/>
            </w:tcBorders>
            <w:vAlign w:val="center"/>
          </w:tcPr>
          <w:p w14:paraId="3E9E5C2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与本产品的差异</w:t>
            </w:r>
          </w:p>
        </w:tc>
      </w:tr>
      <w:tr w14:paraId="4652BA2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9" w:type="dxa"/>
            <w:vAlign w:val="center"/>
          </w:tcPr>
          <w:p w14:paraId="66D8003C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碳配额价格保险</w:t>
            </w:r>
          </w:p>
        </w:tc>
        <w:tc>
          <w:tcPr>
            <w:tcW w:w="1108" w:type="dxa"/>
            <w:vAlign w:val="center"/>
          </w:tcPr>
          <w:p w14:paraId="603672D3">
            <w:pPr>
              <w:spacing w:before="20" w:after="20" w:line="240" w:lineRule="auto"/>
              <w:ind w:firstLine="0"/>
            </w:pPr>
            <m:oMathPara>
              <m:oMath>
                <m:r>
                  <m:rPr/>
                  <m:t>P</m:t>
                </m:r>
              </m:oMath>
            </m:oMathPara>
          </w:p>
        </w:tc>
        <w:tc>
          <w:tcPr>
            <w:tcW w:w="4101" w:type="dxa"/>
            <w:vAlign w:val="center"/>
          </w:tcPr>
          <w:p w14:paraId="5731A12F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触发因子相同，但</w:t>
            </w: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必要性论证不同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：本产品以 §2 的 </w:t>
            </w:r>
            <m:oMath>
              <m:r>
                <m:rPr/>
                <m:t>m</m:t>
              </m:r>
              <m:r>
                <m:rPr>
                  <m:sty m:val="p"/>
                </m:rPr>
                <m:t>&gt;</m:t>
              </m:r>
              <m:r>
                <m:rPr/>
                <m:t>1</m:t>
              </m:r>
            </m:oMath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 实证说明碳价低估成本</w:t>
            </w:r>
          </w:p>
        </w:tc>
      </w:tr>
      <w:tr w14:paraId="56875B9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9" w:type="dxa"/>
            <w:vAlign w:val="center"/>
          </w:tcPr>
          <w:p w14:paraId="45201E5B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碳期货（</w:t>
            </w: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尚未上市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，广期所合约方案已完成，预期 2026–2027）</w:t>
            </w:r>
          </w:p>
        </w:tc>
        <w:tc>
          <w:tcPr>
            <w:tcW w:w="1108" w:type="dxa"/>
            <w:vAlign w:val="center"/>
          </w:tcPr>
          <w:p w14:paraId="0D63293E">
            <w:pPr>
              <w:spacing w:before="20" w:after="20" w:line="240" w:lineRule="auto"/>
              <w:ind w:firstLine="0"/>
            </w:pPr>
            <m:oMathPara>
              <m:oMath>
                <m:r>
                  <m:rPr/>
                  <m:t>P</m:t>
                </m:r>
              </m:oMath>
            </m:oMathPara>
          </w:p>
        </w:tc>
        <w:tc>
          <w:tcPr>
            <w:tcW w:w="4101" w:type="dxa"/>
            <w:vAlign w:val="center"/>
          </w:tcPr>
          <w:p w14:paraId="12D58082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对冲价格波动。本产品承保其无法处理的内容（§6.3）</w:t>
            </w:r>
          </w:p>
        </w:tc>
      </w:tr>
      <w:tr w14:paraId="2FDC9E7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9" w:type="dxa"/>
            <w:vAlign w:val="center"/>
          </w:tcPr>
          <w:p w14:paraId="3CE6960E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碳远期 SHEAF</w:t>
            </w:r>
          </w:p>
        </w:tc>
        <w:tc>
          <w:tcPr>
            <w:tcW w:w="1108" w:type="dxa"/>
            <w:vAlign w:val="center"/>
          </w:tcPr>
          <w:p w14:paraId="3D5089A3">
            <w:pPr>
              <w:spacing w:before="20" w:after="20" w:line="240" w:lineRule="auto"/>
              <w:ind w:firstLine="0"/>
            </w:pPr>
            <m:oMathPara>
              <m:oMath>
                <m:r>
                  <m:rPr/>
                  <m:t>P</m:t>
                </m:r>
              </m:oMath>
            </m:oMathPara>
          </w:p>
        </w:tc>
        <w:tc>
          <w:tcPr>
            <w:tcW w:w="4101" w:type="dxa"/>
            <w:vAlign w:val="center"/>
          </w:tcPr>
          <w:p w14:paraId="0CE95817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上海清算所标准化产品，累计成交约 1.8 亿元、认可度低</w:t>
            </w:r>
          </w:p>
        </w:tc>
      </w:tr>
      <w:tr w14:paraId="3F427FC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9" w:type="dxa"/>
            <w:vAlign w:val="center"/>
          </w:tcPr>
          <w:p w14:paraId="1DD7794F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碳配额质押 / 回购</w:t>
            </w:r>
          </w:p>
        </w:tc>
        <w:tc>
          <w:tcPr>
            <w:tcW w:w="1108" w:type="dxa"/>
            <w:vAlign w:val="center"/>
          </w:tcPr>
          <w:p w14:paraId="360871D9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交易对手信用</w:t>
            </w:r>
          </w:p>
        </w:tc>
        <w:tc>
          <w:tcPr>
            <w:tcW w:w="4101" w:type="dxa"/>
            <w:vAlign w:val="center"/>
          </w:tcPr>
          <w:p w14:paraId="366B093A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本产品是成本保险，不涉融资</w:t>
            </w:r>
          </w:p>
        </w:tc>
      </w:tr>
      <w:tr w14:paraId="4214CA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9" w:type="dxa"/>
            <w:vAlign w:val="center"/>
          </w:tcPr>
          <w:p w14:paraId="562739D6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绿色债券 / 可持续发展挂钩债</w:t>
            </w:r>
          </w:p>
        </w:tc>
        <w:tc>
          <w:tcPr>
            <w:tcW w:w="1108" w:type="dxa"/>
            <w:vAlign w:val="center"/>
          </w:tcPr>
          <w:p w14:paraId="4E30FD18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融资成本或绩效</w:t>
            </w:r>
          </w:p>
        </w:tc>
        <w:tc>
          <w:tcPr>
            <w:tcW w:w="4101" w:type="dxa"/>
            <w:vAlign w:val="center"/>
          </w:tcPr>
          <w:p w14:paraId="2325294F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本产品覆盖运营成本，不进资本端</w:t>
            </w:r>
          </w:p>
        </w:tc>
      </w:tr>
      <w:tr w14:paraId="49EEAC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9" w:type="dxa"/>
            <w:vAlign w:val="center"/>
          </w:tcPr>
          <w:p w14:paraId="658765CA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传统财产险</w:t>
            </w:r>
          </w:p>
        </w:tc>
        <w:tc>
          <w:tcPr>
            <w:tcW w:w="1108" w:type="dxa"/>
            <w:vAlign w:val="center"/>
          </w:tcPr>
          <w:p w14:paraId="2994D422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实物资产</w:t>
            </w:r>
          </w:p>
        </w:tc>
        <w:tc>
          <w:tcPr>
            <w:tcW w:w="4101" w:type="dxa"/>
            <w:vAlign w:val="center"/>
          </w:tcPr>
          <w:p w14:paraId="0796FD37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本产品标的是配额采购义务，无查勘定损</w:t>
            </w:r>
          </w:p>
        </w:tc>
      </w:tr>
    </w:tbl>
    <w:p w14:paraId="45ABE7D4">
      <w:pPr>
        <w:spacing w:after="120" w:line="240" w:lineRule="auto"/>
        <w:ind w:firstLine="0"/>
      </w:pPr>
      <w:r>
        <w:t xml:space="preserve"> </w:t>
      </w:r>
    </w:p>
    <w:p w14:paraId="6E9D5A02">
      <w:pPr>
        <w:pBdr>
          <w:bottom w:val="single" w:color="000000" w:sz="6" w:space="1"/>
        </w:pBdr>
        <w:spacing w:before="40" w:after="120"/>
        <w:ind w:firstLine="0"/>
      </w:pPr>
    </w:p>
    <w:p w14:paraId="177CB1A2">
      <w:pPr>
        <w:pStyle w:val="4"/>
        <w:ind w:firstLine="0"/>
        <w:jc w:val="left"/>
      </w:pPr>
      <w:bookmarkStart w:id="6" w:name="_Toc19281"/>
      <w:r>
        <w:rPr>
          <w:rFonts w:ascii="Times New Roman" w:hAnsi="Times New Roman" w:eastAsia="黑体" w:cs="Times New Roman"/>
          <w:b/>
          <w:color w:val="000000"/>
          <w:sz w:val="32"/>
        </w:rPr>
        <w:t>二、承保必要性：碳价系统性低估减排成本</w:t>
      </w:r>
      <w:bookmarkEnd w:id="6"/>
    </w:p>
    <w:p w14:paraId="7F383606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>本节回答：为什么要为碳价跃升投保？若碳价已充分反映减排成本，企业敞口就只是价格波动，期货足以对冲。</w:t>
      </w:r>
    </w:p>
    <w:p w14:paraId="5B0DEB63">
      <w:pPr>
        <w:pStyle w:val="5"/>
        <w:ind w:firstLine="0"/>
        <w:jc w:val="left"/>
      </w:pPr>
      <w:bookmarkStart w:id="7" w:name="_Toc6936"/>
      <w:r>
        <w:rPr>
          <w:rFonts w:ascii="Times New Roman" w:hAnsi="Times New Roman" w:eastAsia="黑体" w:cs="Times New Roman"/>
          <w:b/>
          <w:color w:val="000000"/>
          <w:sz w:val="28"/>
        </w:rPr>
        <w:t>2.1 影子价格与方向距离函数</w:t>
      </w:r>
      <w:bookmarkEnd w:id="7"/>
    </w:p>
    <w:p w14:paraId="3A894807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 xml:space="preserve">用二次型方向距离函数（DDF）测算减排影子价格，方向向量 </w:t>
      </w:r>
      <m:oMath>
        <m:r>
          <m:rPr/>
          <m:t>g</m:t>
        </m:r>
        <m:r>
          <m:rPr>
            <m:sty m:val="p"/>
          </m:rPr>
          <m:t>=(</m:t>
        </m:r>
        <m:r>
          <m:rPr/>
          <m:t>1</m:t>
        </m:r>
        <m:r>
          <m:rPr>
            <m:sty m:val="p"/>
          </m:rPr>
          <m:t>,−</m:t>
        </m:r>
        <m:r>
          <m:rPr/>
          <m:t>β</m:t>
        </m:r>
        <m:r>
          <m:rPr>
            <m:sty m:val="p"/>
          </m:rPr>
          <m:t>)</m:t>
        </m:r>
      </m:oMath>
      <w:r>
        <w:rPr>
          <w:rFonts w:ascii="Times New Roman" w:hAnsi="Times New Roman" w:eastAsia="宋体" w:cs="Times New Roman"/>
          <w:color w:val="000000"/>
        </w:rPr>
        <w:t>：</w:t>
      </w:r>
    </w:p>
    <w:p w14:paraId="2109B450">
      <w:pPr>
        <w:spacing w:before="120" w:after="120" w:line="288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>$\text{MAC}=-\frac{\partial D/\partial b}{\partial D/\partial y}$</w:t>
      </w:r>
    </w:p>
    <w:p w14:paraId="491F05A0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 xml:space="preserve">方向向量不是观测数据，是研究者选定的。选不同的 </w:t>
      </w:r>
      <m:oMath>
        <m:r>
          <m:rPr/>
          <m:t>g</m:t>
        </m:r>
      </m:oMath>
      <w:r>
        <w:rPr>
          <w:rFonts w:ascii="Times New Roman" w:hAnsi="Times New Roman" w:eastAsia="宋体" w:cs="Times New Roman"/>
          <w:color w:val="000000"/>
        </w:rPr>
        <w:t xml:space="preserve">，同一份面板会给出不同的 MAC —— </w:t>
      </w:r>
      <w:r>
        <w:rPr>
          <w:rFonts w:ascii="Times New Roman" w:hAnsi="Times New Roman" w:eastAsia="黑体" w:cs="Times New Roman"/>
          <w:b/>
          <w:color w:val="000000"/>
        </w:rPr>
        <w:t>这是设定误差，不是估计误差。</w:t>
      </w:r>
    </w:p>
    <w:p w14:paraId="76394461">
      <w:pPr>
        <w:pStyle w:val="5"/>
        <w:ind w:firstLine="0"/>
        <w:jc w:val="left"/>
      </w:pPr>
      <w:bookmarkStart w:id="8" w:name="_Toc4269"/>
      <w:r>
        <w:rPr>
          <w:rFonts w:ascii="Times New Roman" w:hAnsi="Times New Roman" w:eastAsia="黑体" w:cs="Times New Roman"/>
          <w:b/>
          <w:color w:val="000000"/>
          <w:sz w:val="28"/>
        </w:rPr>
        <w:t>2.2 g 的取值造成多大的区间</w:t>
      </w:r>
      <w:bookmarkEnd w:id="8"/>
    </w:p>
    <w:p w14:paraId="4068CAF0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>实测网格（210 次求解 / 149 合法 / 52 非法 / 9 不可行）：</w:t>
      </w:r>
    </w:p>
    <w:tbl>
      <w:tblPr>
        <w:tblStyle w:val="36"/>
        <w:tblW w:w="8278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5"/>
        <w:gridCol w:w="1541"/>
        <w:gridCol w:w="2473"/>
        <w:gridCol w:w="1099"/>
      </w:tblGrid>
      <w:tr w14:paraId="0912B3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65" w:type="dxa"/>
            <w:tcBorders>
              <w:bottom w:val="single" w:color="000000" w:sz="6" w:space="0"/>
            </w:tcBorders>
            <w:vAlign w:val="center"/>
          </w:tcPr>
          <w:p w14:paraId="34308D2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口径</w:t>
            </w:r>
          </w:p>
        </w:tc>
        <w:tc>
          <w:tcPr>
            <w:tcW w:w="1541" w:type="dxa"/>
            <w:tcBorders>
              <w:bottom w:val="single" w:color="000000" w:sz="6" w:space="0"/>
            </w:tcBorders>
            <w:vAlign w:val="center"/>
          </w:tcPr>
          <w:p w14:paraId="5239BDD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自由度</w:t>
            </w:r>
          </w:p>
        </w:tc>
        <w:tc>
          <w:tcPr>
            <w:tcW w:w="2473" w:type="dxa"/>
            <w:tcBorders>
              <w:bottom w:val="single" w:color="000000" w:sz="6" w:space="0"/>
            </w:tcBorders>
            <w:vAlign w:val="center"/>
          </w:tcPr>
          <w:p w14:paraId="74B490D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MAC 区间（1995 年价）</w:t>
            </w:r>
          </w:p>
        </w:tc>
        <w:tc>
          <w:tcPr>
            <w:tcW w:w="1099" w:type="dxa"/>
            <w:tcBorders>
              <w:bottom w:val="single" w:color="000000" w:sz="6" w:space="0"/>
            </w:tcBorders>
            <w:vAlign w:val="center"/>
          </w:tcPr>
          <w:p w14:paraId="5AA3D72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跨度</w:t>
            </w:r>
          </w:p>
        </w:tc>
      </w:tr>
      <w:tr w14:paraId="79B253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vAlign w:val="center"/>
          </w:tcPr>
          <w:p w14:paraId="01B622D4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仅标度自由度 </w:t>
            </w:r>
            <m:oMath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1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（</w:t>
            </w:r>
            <m:oMath>
              <m:r>
                <m:rPr/>
                <m:t>β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）</w:t>
            </w:r>
          </w:p>
        </w:tc>
        <w:tc>
          <w:tcPr>
            <w:tcW w:w="1541" w:type="dxa"/>
            <w:vAlign w:val="center"/>
          </w:tcPr>
          <w:p w14:paraId="6590EF06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1 维（28 档）</w:t>
            </w:r>
          </w:p>
        </w:tc>
        <w:tc>
          <w:tcPr>
            <w:tcW w:w="2473" w:type="dxa"/>
            <w:vAlign w:val="center"/>
          </w:tcPr>
          <w:p w14:paraId="036FBF9A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168.78 – 555.80</w:t>
            </w:r>
          </w:p>
        </w:tc>
        <w:tc>
          <w:tcPr>
            <w:tcW w:w="1099" w:type="dxa"/>
            <w:vAlign w:val="center"/>
          </w:tcPr>
          <w:p w14:paraId="37E031E4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3.29×</w:t>
            </w:r>
          </w:p>
        </w:tc>
      </w:tr>
      <w:tr w14:paraId="0D3DD1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vAlign w:val="center"/>
          </w:tcPr>
          <w:p w14:paraId="328710E7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标度×形状（</w:t>
            </w:r>
            <m:oMath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/>
                <m:t>β</m:t>
              </m:r>
            </m:oMath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）</w:t>
            </w:r>
          </w:p>
        </w:tc>
        <w:tc>
          <w:tcPr>
            <w:tcW w:w="1541" w:type="dxa"/>
            <w:vAlign w:val="center"/>
          </w:tcPr>
          <w:p w14:paraId="2E45ED5C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2 维（149 档）</w:t>
            </w:r>
          </w:p>
        </w:tc>
        <w:tc>
          <w:tcPr>
            <w:tcW w:w="2473" w:type="dxa"/>
            <w:vAlign w:val="center"/>
          </w:tcPr>
          <w:p w14:paraId="48CCDCB2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132.48 – 572.71</w:t>
            </w:r>
          </w:p>
        </w:tc>
        <w:tc>
          <w:tcPr>
            <w:tcW w:w="1099" w:type="dxa"/>
            <w:vAlign w:val="center"/>
          </w:tcPr>
          <w:p w14:paraId="27C32654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4.32×</w:t>
            </w:r>
          </w:p>
        </w:tc>
      </w:tr>
    </w:tbl>
    <w:p w14:paraId="3BA7927F">
      <w:pPr>
        <w:spacing w:after="120" w:line="240" w:lineRule="auto"/>
        <w:ind w:firstLine="0"/>
      </w:pPr>
      <w:r>
        <w:t xml:space="preserve"> </w:t>
      </w:r>
    </w:p>
    <w:p w14:paraId="044E732A">
      <w:pPr>
        <w:spacing w:after="40" w:line="360" w:lineRule="auto"/>
        <w:ind w:firstLine="480"/>
      </w:pPr>
      <m:oMath>
        <m:sSub>
          <m:sSubPr/>
          <m:e>
            <m:r>
              <m:rPr/>
              <m:t>γ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宋体" w:cs="Times New Roman"/>
          <w:color w:val="000000"/>
        </w:rPr>
        <w:t xml:space="preserve"> 与 </w:t>
      </w:r>
      <m:oMath>
        <m:r>
          <m:rPr/>
          <m:t>β</m:t>
        </m:r>
      </m:oMath>
      <w:r>
        <w:rPr>
          <w:rFonts w:ascii="Times New Roman" w:hAnsi="Times New Roman" w:eastAsia="宋体" w:cs="Times New Roman"/>
          <w:color w:val="000000"/>
        </w:rPr>
        <w:t xml:space="preserve"> 是</w:t>
      </w:r>
      <w:r>
        <w:rPr>
          <w:rFonts w:ascii="Times New Roman" w:hAnsi="Times New Roman" w:eastAsia="黑体" w:cs="Times New Roman"/>
          <w:b/>
          <w:color w:val="000000"/>
        </w:rPr>
        <w:t>约定性自由度</w:t>
      </w:r>
      <w:r>
        <w:rPr>
          <w:rFonts w:ascii="Times New Roman" w:hAnsi="Times New Roman" w:eastAsia="宋体" w:cs="Times New Roman"/>
          <w:color w:val="000000"/>
        </w:rPr>
        <w:t xml:space="preserve">（校准自由度），无概率分布含义，因而不可进费率。处理方式是冻结加披露。冻结档取 </w:t>
      </w:r>
      <m:oMath>
        <m:r>
          <m:rPr/>
          <m:t>β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γ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ascii="Times New Roman" w:hAnsi="Times New Roman" w:eastAsia="宋体" w:cs="Times New Roman"/>
          <w:color w:val="000000"/>
        </w:rPr>
        <w:t>（</w:t>
      </w:r>
      <m:oMath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=−</m:t>
        </m:r>
        <m:r>
          <m:rPr/>
          <m:t>1</m:t>
        </m:r>
      </m:oMath>
      <w:r>
        <w:rPr>
          <w:rFonts w:ascii="Times New Roman" w:hAnsi="Times New Roman" w:eastAsia="宋体" w:cs="Times New Roman"/>
          <w:color w:val="000000"/>
        </w:rPr>
        <w:t xml:space="preserve">，FGN-W 2005 标准平移约定），得 </w:t>
      </w:r>
      <m:oMath>
        <m:sSub>
          <m:sSubPr/>
          <m:e>
            <m:acc>
              <m:accPr/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MAC</m:t>
                </m:r>
              </m:e>
            </m:acc>
          </m:e>
          <m:sub>
            <m:r>
              <m:rPr/>
              <m:t>2022</m:t>
            </m:r>
          </m:sub>
        </m:sSub>
        <m:r>
          <m:rPr>
            <m:sty m:val="p"/>
          </m:rPr>
          <m:t>=</m:t>
        </m:r>
        <m:r>
          <m:rPr/>
          <m:t>190.53</m:t>
        </m:r>
      </m:oMath>
      <w:r>
        <w:rPr>
          <w:rFonts w:ascii="Times New Roman" w:hAnsi="Times New Roman" w:eastAsia="宋体" w:cs="Times New Roman"/>
          <w:color w:val="000000"/>
        </w:rPr>
        <w:t xml:space="preserve"> 元/吨（1995 年价）。</w:t>
      </w:r>
    </w:p>
    <w:p w14:paraId="44BBC737">
      <w:pPr>
        <w:pStyle w:val="5"/>
        <w:ind w:firstLine="0"/>
        <w:jc w:val="left"/>
      </w:pPr>
      <w:bookmarkStart w:id="9" w:name="_Toc17190"/>
      <w:r>
        <w:rPr>
          <w:rFonts w:ascii="Times New Roman" w:hAnsi="Times New Roman" w:eastAsia="黑体" w:cs="Times New Roman"/>
          <w:b/>
          <w:color w:val="000000"/>
          <w:sz w:val="28"/>
        </w:rPr>
        <w:t>2.3 缺口倍数的稳健区间</w:t>
      </w:r>
      <w:bookmarkEnd w:id="9"/>
    </w:p>
    <w:p w14:paraId="07BBCF0A">
      <w:pPr>
        <w:spacing w:after="40" w:line="360" w:lineRule="auto"/>
        <w:ind w:firstLine="480"/>
      </w:pPr>
      <m:oMath>
        <m:r>
          <m:rPr/>
          <m:t>m</m:t>
        </m:r>
        <m:r>
          <m:rPr>
            <m:sty m:val="p"/>
          </m:rPr>
          <m:t>=</m:t>
        </m:r>
        <m:r>
          <m:rPr>
            <m:nor/>
            <m:sty m:val="p"/>
          </m:rPr>
          <m:t>MAC</m:t>
        </m:r>
        <m:r>
          <m:rPr>
            <m:sty m:val="p"/>
          </m:rPr>
          <m:t>/</m:t>
        </m:r>
        <m:r>
          <m:rPr/>
          <m:t>P</m:t>
        </m:r>
      </m:oMath>
      <w:r>
        <w:rPr>
          <w:rFonts w:ascii="Times New Roman" w:hAnsi="Times New Roman" w:eastAsia="宋体" w:cs="Times New Roman"/>
          <w:color w:val="000000"/>
        </w:rPr>
        <w:t xml:space="preserve"> 对两处不确定性敏感：</w:t>
      </w:r>
    </w:p>
    <w:tbl>
      <w:tblPr>
        <w:tblStyle w:val="36"/>
        <w:tblW w:w="8278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8"/>
        <w:gridCol w:w="5092"/>
        <w:gridCol w:w="1658"/>
      </w:tblGrid>
      <w:tr w14:paraId="6B42D1A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28" w:type="dxa"/>
            <w:tcBorders>
              <w:bottom w:val="single" w:color="000000" w:sz="6" w:space="0"/>
            </w:tcBorders>
            <w:vAlign w:val="center"/>
          </w:tcPr>
          <w:p w14:paraId="7D2872A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不确定性来源</w:t>
            </w:r>
          </w:p>
        </w:tc>
        <w:tc>
          <w:tcPr>
            <w:tcW w:w="5092" w:type="dxa"/>
            <w:tcBorders>
              <w:bottom w:val="single" w:color="000000" w:sz="6" w:space="0"/>
            </w:tcBorders>
            <w:vAlign w:val="center"/>
          </w:tcPr>
          <w:p w14:paraId="0B6DF1A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实测</w:t>
            </w:r>
          </w:p>
        </w:tc>
        <w:tc>
          <w:tcPr>
            <w:tcW w:w="1658" w:type="dxa"/>
            <w:tcBorders>
              <w:bottom w:val="single" w:color="000000" w:sz="6" w:space="0"/>
            </w:tcBorders>
            <w:vAlign w:val="center"/>
          </w:tcPr>
          <w:p w14:paraId="35D73AF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影响</w:t>
            </w:r>
          </w:p>
        </w:tc>
      </w:tr>
      <w:tr w14:paraId="17856B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8" w:type="dxa"/>
            <w:vAlign w:val="center"/>
          </w:tcPr>
          <w:p w14:paraId="4EAEAB63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模型脆弱性</w:t>
            </w:r>
          </w:p>
        </w:tc>
        <w:tc>
          <w:tcPr>
            <w:tcW w:w="5092" w:type="dxa"/>
            <w:vAlign w:val="center"/>
          </w:tcPr>
          <w:p w14:paraId="00BC63D4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资本 +5% ⇒ MAC </w:t>
            </w: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−20.0%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；劳动 +5% ⇒ +17.6%；产出/排放 +5% ⇒ +7.6%</w:t>
            </w:r>
          </w:p>
        </w:tc>
        <w:tc>
          <w:tcPr>
            <w:tcW w:w="1658" w:type="dxa"/>
            <w:vAlign w:val="center"/>
          </w:tcPr>
          <w:p w14:paraId="304CA23F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单参数扰动即达 ±20%</w:t>
            </w:r>
          </w:p>
        </w:tc>
      </w:tr>
      <w:tr w14:paraId="3AB3452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8" w:type="dxa"/>
            <w:vAlign w:val="center"/>
          </w:tcPr>
          <w:p w14:paraId="3F414969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样本剔除口径</w:t>
            </w:r>
          </w:p>
        </w:tc>
        <w:tc>
          <w:tcPr>
            <w:tcW w:w="5092" w:type="dxa"/>
            <w:vAlign w:val="center"/>
          </w:tcPr>
          <w:p w14:paraId="0CF9639B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2026 年：含全部省 56.0，剔除 10 个负 </w:t>
            </w:r>
            <m:oMath>
              <m:r>
                <m:rPr/>
                <m:t>u</m:t>
              </m:r>
            </m:oMath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 省后 </w:t>
            </w: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132.9</w:t>
            </w:r>
          </w:p>
        </w:tc>
        <w:tc>
          <w:tcPr>
            <w:tcW w:w="1658" w:type="dxa"/>
            <w:vAlign w:val="center"/>
          </w:tcPr>
          <w:p w14:paraId="138033A8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2.37×</w:t>
            </w:r>
          </w:p>
        </w:tc>
      </w:tr>
    </w:tbl>
    <w:p w14:paraId="28EDE819">
      <w:pPr>
        <w:spacing w:after="120" w:line="240" w:lineRule="auto"/>
        <w:ind w:firstLine="0"/>
      </w:pPr>
      <w:r>
        <w:t xml:space="preserve"> </w:t>
      </w:r>
    </w:p>
    <w:p w14:paraId="20EBBDF4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 xml:space="preserve">结构外推口径下 </w:t>
      </w:r>
      <m:oMath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1.3244</m:t>
        </m:r>
      </m:oMath>
      <w:r>
        <w:rPr>
          <w:rFonts w:ascii="Times New Roman" w:hAnsi="Times New Roman" w:eastAsia="宋体" w:cs="Times New Roman"/>
          <w:color w:val="000000"/>
        </w:rPr>
        <w:t>。叠加上列两项：</w:t>
      </w:r>
    </w:p>
    <w:p w14:paraId="3371EB29">
      <w:pPr>
        <w:spacing w:before="120" w:after="120" w:line="288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>$m_0^{\text{下界}}=1.3244\times0.80=1.06\qquad m_0^{\text{上界}}=1.3244\times2.37=3.14$</w:t>
      </w:r>
    </w:p>
    <w:p w14:paraId="6723EE34">
      <w:pPr>
        <w:spacing w:before="120" w:after="120" w:line="288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>$\boxed{\,m_0\in[1.06,\ 3.14]\,}$</w:t>
      </w:r>
    </w:p>
    <w:p w14:paraId="3F3571C2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下界始终大于 1。</w:t>
      </w:r>
      <w:r>
        <w:rPr>
          <w:rFonts w:ascii="Times New Roman" w:hAnsi="Times New Roman" w:eastAsia="宋体" w:cs="Times New Roman"/>
          <w:color w:val="000000"/>
        </w:rPr>
        <w:t xml:space="preserve"> 这是本节唯一的承保必要性论据，且对口径选择、模型扰动、样本剔除全部稳健 —— </w:t>
      </w:r>
      <w:r>
        <w:rPr>
          <w:rFonts w:ascii="Times New Roman" w:hAnsi="Times New Roman" w:eastAsia="黑体" w:cs="Times New Roman"/>
          <w:b/>
          <w:color w:val="000000"/>
        </w:rPr>
        <w:t>不需要 MAC 的值准确，只需要它高于 P。</w:t>
      </w:r>
    </w:p>
    <w:p w14:paraId="1F9582BC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 xml:space="preserve">（对照：价格平移口径给出 </w:t>
      </w:r>
      <m:oMath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4.22</m:t>
        </m:r>
      </m:oMath>
      <w:r>
        <w:rPr>
          <w:rFonts w:ascii="Times New Roman" w:hAnsi="Times New Roman" w:eastAsia="宋体" w:cs="Times New Roman"/>
          <w:color w:val="000000"/>
        </w:rPr>
        <w:t xml:space="preserve">，因等价于假设技术零进步、与引擎自身 </w:t>
      </w:r>
      <m:oMath>
        <m:r>
          <m:rPr/>
          <m:t>m</m:t>
        </m:r>
        <m:r>
          <m:rPr>
            <m:sty m:val="p"/>
          </m:rPr>
          <m:t>→</m:t>
        </m:r>
        <m:r>
          <m:rPr/>
          <m:t>1.5</m:t>
        </m:r>
      </m:oMath>
      <w:r>
        <w:rPr>
          <w:rFonts w:ascii="Times New Roman" w:hAnsi="Times New Roman" w:eastAsia="宋体" w:cs="Times New Roman"/>
          <w:color w:val="000000"/>
        </w:rPr>
        <w:t xml:space="preserve"> 的收敛设定矛盾，不采用。）</w:t>
      </w:r>
    </w:p>
    <w:p w14:paraId="2A5BCD46">
      <w:pPr>
        <w:pStyle w:val="5"/>
        <w:ind w:firstLine="0"/>
        <w:jc w:val="left"/>
      </w:pPr>
      <w:bookmarkStart w:id="10" w:name="_Toc27711"/>
      <w:r>
        <w:rPr>
          <w:rFonts w:ascii="Times New Roman" w:hAnsi="Times New Roman" w:eastAsia="黑体" w:cs="Times New Roman"/>
          <w:b/>
          <w:color w:val="000000"/>
          <w:sz w:val="28"/>
        </w:rPr>
        <w:t>2.4 为什么 MAC 不作为触发因子</w:t>
      </w:r>
      <w:bookmarkEnd w:id="10"/>
    </w:p>
    <w:p w14:paraId="754AD5EC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>MAC 承担了</w:t>
      </w:r>
      <w:r>
        <w:rPr>
          <w:rFonts w:ascii="Times New Roman" w:hAnsi="Times New Roman" w:eastAsia="黑体" w:cs="Times New Roman"/>
          <w:b/>
          <w:color w:val="000000"/>
        </w:rPr>
        <w:t>g 自由度（4.32×）、外推口径（3.19×）、样本剔除（2.37×）</w:t>
      </w:r>
      <w:r>
        <w:rPr>
          <w:rFonts w:ascii="Times New Roman" w:hAnsi="Times New Roman" w:eastAsia="宋体" w:cs="Times New Roman"/>
          <w:color w:val="000000"/>
        </w:rPr>
        <w:t xml:space="preserve"> 三层不确定性。条款锚必须写具体数字，而任何单点锚值都不成立；结构外推口径下影子价格还会在 2028 年跌破解释有效域。</w:t>
      </w:r>
    </w:p>
    <w:p w14:paraId="227BB354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故 MAC 全文只作必要性实证，不进赔付公式、不进条款锚、不进费率。</w:t>
      </w:r>
      <w:r>
        <w:rPr>
          <w:rFonts w:ascii="Times New Roman" w:hAnsi="Times New Roman" w:eastAsia="宋体" w:cs="Times New Roman"/>
          <w:color w:val="000000"/>
        </w:rPr>
        <w:t xml:space="preserve"> 这是本文与既有影子价格应用文献最主要的差别：</w:t>
      </w:r>
      <w:r>
        <w:rPr>
          <w:rFonts w:ascii="Times New Roman" w:hAnsi="Times New Roman" w:eastAsia="黑体" w:cs="Times New Roman"/>
          <w:b/>
          <w:color w:val="000000"/>
        </w:rPr>
        <w:t>把构造量放回它能被验证的强度上 —— 只支撑方向性结论，不支撑点值。</w:t>
      </w:r>
    </w:p>
    <w:p w14:paraId="37CC0BD5">
      <w:pPr>
        <w:pBdr>
          <w:bottom w:val="single" w:color="000000" w:sz="6" w:space="1"/>
        </w:pBdr>
        <w:spacing w:before="40" w:after="120"/>
        <w:ind w:firstLine="0"/>
      </w:pPr>
    </w:p>
    <w:p w14:paraId="28ABB654">
      <w:pPr>
        <w:pStyle w:val="4"/>
        <w:ind w:firstLine="0"/>
        <w:jc w:val="left"/>
      </w:pPr>
      <w:bookmarkStart w:id="11" w:name="_Toc213"/>
      <w:r>
        <w:rPr>
          <w:rFonts w:ascii="Times New Roman" w:hAnsi="Times New Roman" w:eastAsia="黑体" w:cs="Times New Roman"/>
          <w:b/>
          <w:color w:val="000000"/>
          <w:sz w:val="32"/>
        </w:rPr>
        <w:t>三、风险识别与定价</w:t>
      </w:r>
      <w:bookmarkEnd w:id="11"/>
    </w:p>
    <w:p w14:paraId="5B85AD5E">
      <w:pPr>
        <w:pStyle w:val="5"/>
        <w:ind w:firstLine="0"/>
        <w:jc w:val="left"/>
      </w:pPr>
      <w:bookmarkStart w:id="12" w:name="_Toc24356"/>
      <w:r>
        <w:rPr>
          <w:rFonts w:ascii="Times New Roman" w:hAnsi="Times New Roman" w:eastAsia="黑体" w:cs="Times New Roman"/>
          <w:b/>
          <w:color w:val="000000"/>
          <w:sz w:val="28"/>
        </w:rPr>
        <w:t>3.1 被承保的风险</w:t>
      </w:r>
      <w:bookmarkEnd w:id="12"/>
    </w:p>
    <w:p w14:paraId="772F0F9C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 xml:space="preserve">企业配额采购支出 </w:t>
      </w:r>
      <m:oMath>
        <m:sSub>
          <m:sSubPr/>
          <m:e>
            <m:r>
              <m:rPr/>
              <m:t>P</m:t>
            </m:r>
          </m:e>
          <m:sub>
            <m:r>
              <m:rPr/>
              <m:t>d</m:t>
            </m:r>
          </m:sub>
        </m:sSub>
        <m:sSub>
          <m:sSubPr/>
          <m:e>
            <m:r>
              <m:rPr/>
              <m:t>Q</m:t>
            </m:r>
          </m:e>
          <m:sub>
            <m:r>
              <m:rPr/>
              <m:t>d</m:t>
            </m:r>
          </m:sub>
        </m:sSub>
      </m:oMath>
      <w:r>
        <w:rPr>
          <w:rFonts w:ascii="Times New Roman" w:hAnsi="Times New Roman" w:eastAsia="宋体" w:cs="Times New Roman"/>
          <w:color w:val="000000"/>
        </w:rPr>
        <w:t xml:space="preserve"> 的年度跃升。承保 </w:t>
      </w:r>
      <m:oMath>
        <m:r>
          <m:rPr/>
          <m:t>P</m:t>
        </m:r>
      </m:oMath>
      <w:r>
        <w:rPr>
          <w:rFonts w:ascii="Times New Roman" w:hAnsi="Times New Roman" w:eastAsia="宋体" w:cs="Times New Roman"/>
          <w:color w:val="000000"/>
        </w:rPr>
        <w:t xml:space="preserve"> 侧的三个理由：</w:t>
      </w:r>
      <m:oMath>
        <m:r>
          <m:rPr/>
          <m:t>P</m:t>
        </m:r>
      </m:oMath>
      <w:r>
        <w:rPr>
          <w:rFonts w:ascii="Times New Roman" w:hAnsi="Times New Roman" w:eastAsia="宋体" w:cs="Times New Roman"/>
          <w:color w:val="000000"/>
        </w:rPr>
        <w:t xml:space="preserve"> 是唯一可核验的量（交易所公开成交价，双方无需依赖第三方测算）；</w:t>
      </w:r>
      <m:oMath>
        <m:r>
          <m:rPr/>
          <m:t>Q</m:t>
        </m:r>
      </m:oMath>
      <w:r>
        <w:rPr>
          <w:rFonts w:ascii="Times New Roman" w:hAnsi="Times New Roman" w:eastAsia="宋体" w:cs="Times New Roman"/>
          <w:color w:val="000000"/>
        </w:rPr>
        <w:t xml:space="preserve"> 由主管部门年度公告、企业可预期；</w:t>
      </w:r>
      <m:oMath>
        <m:r>
          <m:rPr/>
          <m:t>Q</m:t>
        </m:r>
      </m:oMath>
      <w:r>
        <w:rPr>
          <w:rFonts w:ascii="Times New Roman" w:hAnsi="Times New Roman" w:eastAsia="宋体" w:cs="Times New Roman"/>
          <w:color w:val="000000"/>
        </w:rPr>
        <w:t xml:space="preserve"> 侧与 </w:t>
      </w:r>
      <m:oMath>
        <m:r>
          <m:rPr/>
          <m:t>P</m:t>
        </m:r>
      </m:oMath>
      <w:r>
        <w:rPr>
          <w:rFonts w:ascii="Times New Roman" w:hAnsi="Times New Roman" w:eastAsia="宋体" w:cs="Times New Roman"/>
          <w:color w:val="000000"/>
        </w:rPr>
        <w:t xml:space="preserve"> 侧高度相关，无法独立定价。</w:t>
      </w:r>
    </w:p>
    <w:p w14:paraId="643E60A6">
      <w:pPr>
        <w:pStyle w:val="5"/>
        <w:ind w:firstLine="0"/>
        <w:jc w:val="left"/>
      </w:pPr>
      <w:bookmarkStart w:id="13" w:name="_Toc19696"/>
      <w:r>
        <w:rPr>
          <w:rFonts w:ascii="Times New Roman" w:hAnsi="Times New Roman" w:eastAsia="黑体" w:cs="Times New Roman"/>
          <w:b/>
          <w:color w:val="000000"/>
          <w:sz w:val="28"/>
        </w:rPr>
        <w:t>3.2 锚日规则：防止逆向选择</w:t>
      </w:r>
      <w:bookmarkEnd w:id="13"/>
    </w:p>
    <w:p w14:paraId="18709A14">
      <w:pPr>
        <w:spacing w:before="160" w:after="60" w:line="336" w:lineRule="auto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$P_0$ 只由保单起期日前一交易日的收盘价决定，与投保日完全无关。</w:t>
      </w:r>
    </w:p>
    <w:p w14:paraId="0DAF0B60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>若允许每日投保且基准取投保日前一日收盘价，投保人只在价格低点时买，基准最低、赔付概率最高 —— 产品会被自己定价死。固定锚日规则消除这一时点选择。</w:t>
      </w:r>
      <w:r>
        <w:rPr>
          <w:rFonts w:ascii="Times New Roman" w:hAnsi="Times New Roman" w:eastAsia="黑体" w:cs="Times New Roman"/>
          <w:b/>
          <w:color w:val="000000"/>
        </w:rPr>
        <w:t>这一条须在条款首条列明。</w:t>
      </w:r>
    </w:p>
    <w:p w14:paraId="246541BD">
      <w:pPr>
        <w:pStyle w:val="5"/>
        <w:ind w:firstLine="0"/>
        <w:jc w:val="left"/>
      </w:pPr>
      <w:bookmarkStart w:id="14" w:name="_Toc4755"/>
      <w:r>
        <w:rPr>
          <w:rFonts w:ascii="Times New Roman" w:hAnsi="Times New Roman" w:eastAsia="黑体" w:cs="Times New Roman"/>
          <w:b/>
          <w:color w:val="000000"/>
          <w:sz w:val="28"/>
        </w:rPr>
        <w:t>3.3 责任上限必须比例式：定额结构在价格跃迁后失效</w:t>
      </w:r>
      <w:bookmarkEnd w:id="14"/>
    </w:p>
    <w:p w14:paraId="03D3EB6A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>碳价的</w:t>
      </w:r>
      <w:r>
        <w:rPr>
          <w:rFonts w:ascii="Times New Roman" w:hAnsi="Times New Roman" w:eastAsia="黑体" w:cs="Times New Roman"/>
          <w:b/>
          <w:color w:val="000000"/>
        </w:rPr>
        <w:t>波动绝对值与价格水平成正比</w:t>
      </w:r>
      <w:r>
        <w:rPr>
          <w:rFonts w:ascii="Times New Roman" w:hAnsi="Times New Roman" w:eastAsia="宋体" w:cs="Times New Roman"/>
          <w:color w:val="000000"/>
        </w:rPr>
        <w:t>（对数过程，</w:t>
      </w:r>
      <m:oMath>
        <m:sSub>
          <m:sSubPr/>
          <m:e>
            <m:r>
              <m:rPr/>
              <m:t>σ</m:t>
            </m:r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eastAsia="宋体" w:cs="Times New Roman"/>
          <w:color w:val="000000"/>
        </w:rPr>
        <w:t xml:space="preserve"> 作用在对数上）。若责任上限与保费为固定元/吨，则价格跃迁时风险尺度放大而保额不变。</w:t>
      </w:r>
    </w:p>
    <w:p w14:paraId="094242AF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>引擎实测（价格中枢年内跃迁，四种结构对照）：</w:t>
      </w:r>
    </w:p>
    <w:tbl>
      <w:tblPr>
        <w:tblStyle w:val="36"/>
        <w:tblW w:w="8278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"/>
        <w:gridCol w:w="981"/>
        <w:gridCol w:w="981"/>
        <w:gridCol w:w="981"/>
        <w:gridCol w:w="1055"/>
        <w:gridCol w:w="914"/>
        <w:gridCol w:w="1078"/>
        <w:gridCol w:w="1307"/>
      </w:tblGrid>
      <w:tr w14:paraId="68A2382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81" w:type="dxa"/>
            <w:tcBorders>
              <w:bottom w:val="single" w:color="000000" w:sz="6" w:space="0"/>
            </w:tcBorders>
            <w:vAlign w:val="center"/>
          </w:tcPr>
          <w:p w14:paraId="341CE40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跃迁倍数</w:t>
            </w:r>
          </w:p>
        </w:tc>
        <w:tc>
          <w:tcPr>
            <w:tcW w:w="981" w:type="dxa"/>
            <w:tcBorders>
              <w:bottom w:val="single" w:color="000000" w:sz="6" w:space="0"/>
            </w:tcBorders>
            <w:vAlign w:val="center"/>
          </w:tcPr>
          <w:p w14:paraId="1E34AF6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年内中枢</w:t>
            </w:r>
          </w:p>
        </w:tc>
        <w:tc>
          <w:tcPr>
            <w:tcW w:w="981" w:type="dxa"/>
            <w:tcBorders>
              <w:bottom w:val="single" w:color="000000" w:sz="6" w:space="0"/>
            </w:tcBorders>
            <w:vAlign w:val="center"/>
          </w:tcPr>
          <w:p w14:paraId="056357B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定额 CAP</w:t>
            </w:r>
          </w:p>
        </w:tc>
        <w:tc>
          <w:tcPr>
            <w:tcW w:w="981" w:type="dxa"/>
            <w:tcBorders>
              <w:bottom w:val="single" w:color="000000" w:sz="6" w:space="0"/>
            </w:tcBorders>
            <w:vAlign w:val="center"/>
          </w:tcPr>
          <w:p w14:paraId="21D9EEB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比例 CAP</w:t>
            </w:r>
          </w:p>
        </w:tc>
        <w:tc>
          <w:tcPr>
            <w:tcW w:w="1055" w:type="dxa"/>
            <w:tcBorders>
              <w:bottom w:val="single" w:color="000000" w:sz="6" w:space="0"/>
            </w:tcBorders>
            <w:vAlign w:val="center"/>
          </w:tcPr>
          <w:p w14:paraId="7D99DEE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定额 E</w:t>
            </w:r>
          </w:p>
        </w:tc>
        <w:tc>
          <w:tcPr>
            <w:tcW w:w="914" w:type="dxa"/>
            <w:tcBorders>
              <w:bottom w:val="single" w:color="000000" w:sz="6" w:space="0"/>
            </w:tcBorders>
            <w:vAlign w:val="center"/>
          </w:tcPr>
          <w:p w14:paraId="6E8CBCB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比例 E</w:t>
            </w:r>
          </w:p>
        </w:tc>
        <w:tc>
          <w:tcPr>
            <w:tcW w:w="1078" w:type="dxa"/>
            <w:tcBorders>
              <w:bottom w:val="single" w:color="000000" w:sz="6" w:space="0"/>
            </w:tcBorders>
            <w:vAlign w:val="center"/>
          </w:tcPr>
          <w:p w14:paraId="6672904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定额费率比值</w:t>
            </w:r>
          </w:p>
        </w:tc>
        <w:tc>
          <w:tcPr>
            <w:tcW w:w="1307" w:type="dxa"/>
            <w:tcBorders>
              <w:bottom w:val="single" w:color="000000" w:sz="6" w:space="0"/>
            </w:tcBorders>
            <w:vAlign w:val="center"/>
          </w:tcPr>
          <w:p w14:paraId="3D56F84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比例费率比值</w:t>
            </w:r>
          </w:p>
        </w:tc>
      </w:tr>
      <w:tr w14:paraId="7BBACC6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1" w:type="dxa"/>
            <w:vAlign w:val="center"/>
          </w:tcPr>
          <w:p w14:paraId="4A6E8E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1×</w:t>
            </w:r>
          </w:p>
        </w:tc>
        <w:tc>
          <w:tcPr>
            <w:tcW w:w="981" w:type="dxa"/>
            <w:vAlign w:val="center"/>
          </w:tcPr>
          <w:p w14:paraId="16A393A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97.9</w:t>
            </w:r>
          </w:p>
        </w:tc>
        <w:tc>
          <w:tcPr>
            <w:tcW w:w="981" w:type="dxa"/>
            <w:vAlign w:val="center"/>
          </w:tcPr>
          <w:p w14:paraId="0E12188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195.8</w:t>
            </w:r>
          </w:p>
        </w:tc>
        <w:tc>
          <w:tcPr>
            <w:tcW w:w="981" w:type="dxa"/>
            <w:vAlign w:val="center"/>
          </w:tcPr>
          <w:p w14:paraId="67F464C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195.8</w:t>
            </w:r>
          </w:p>
        </w:tc>
        <w:tc>
          <w:tcPr>
            <w:tcW w:w="1055" w:type="dxa"/>
            <w:vAlign w:val="center"/>
          </w:tcPr>
          <w:p w14:paraId="1CBDA56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0.023</w:t>
            </w:r>
          </w:p>
        </w:tc>
        <w:tc>
          <w:tcPr>
            <w:tcW w:w="914" w:type="dxa"/>
            <w:vAlign w:val="center"/>
          </w:tcPr>
          <w:p w14:paraId="78CB5B9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0.023</w:t>
            </w:r>
          </w:p>
        </w:tc>
        <w:tc>
          <w:tcPr>
            <w:tcW w:w="1078" w:type="dxa"/>
            <w:vAlign w:val="center"/>
          </w:tcPr>
          <w:p w14:paraId="2DD6A41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1.000</w:t>
            </w:r>
          </w:p>
        </w:tc>
        <w:tc>
          <w:tcPr>
            <w:tcW w:w="1307" w:type="dxa"/>
            <w:vAlign w:val="center"/>
          </w:tcPr>
          <w:p w14:paraId="1F2A6F2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1.000</w:t>
            </w:r>
          </w:p>
        </w:tc>
      </w:tr>
      <w:tr w14:paraId="4A1452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1" w:type="dxa"/>
            <w:vAlign w:val="center"/>
          </w:tcPr>
          <w:p w14:paraId="441B8A6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2×</w:t>
            </w:r>
          </w:p>
        </w:tc>
        <w:tc>
          <w:tcPr>
            <w:tcW w:w="981" w:type="dxa"/>
            <w:vAlign w:val="center"/>
          </w:tcPr>
          <w:p w14:paraId="674B4D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195.8</w:t>
            </w:r>
          </w:p>
        </w:tc>
        <w:tc>
          <w:tcPr>
            <w:tcW w:w="981" w:type="dxa"/>
            <w:vAlign w:val="center"/>
          </w:tcPr>
          <w:p w14:paraId="5D7AB1C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195.8</w:t>
            </w:r>
          </w:p>
        </w:tc>
        <w:tc>
          <w:tcPr>
            <w:tcW w:w="981" w:type="dxa"/>
            <w:vAlign w:val="center"/>
          </w:tcPr>
          <w:p w14:paraId="0C921FE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391.6</w:t>
            </w:r>
          </w:p>
        </w:tc>
        <w:tc>
          <w:tcPr>
            <w:tcW w:w="1055" w:type="dxa"/>
            <w:vAlign w:val="center"/>
          </w:tcPr>
          <w:p w14:paraId="79D9209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0.158</w:t>
            </w:r>
          </w:p>
        </w:tc>
        <w:tc>
          <w:tcPr>
            <w:tcW w:w="914" w:type="dxa"/>
            <w:vAlign w:val="center"/>
          </w:tcPr>
          <w:p w14:paraId="501C17C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0.158</w:t>
            </w:r>
          </w:p>
        </w:tc>
        <w:tc>
          <w:tcPr>
            <w:tcW w:w="1078" w:type="dxa"/>
            <w:vAlign w:val="center"/>
          </w:tcPr>
          <w:p w14:paraId="1CB3215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6.419</w:t>
            </w:r>
          </w:p>
        </w:tc>
        <w:tc>
          <w:tcPr>
            <w:tcW w:w="1307" w:type="dxa"/>
            <w:vAlign w:val="center"/>
          </w:tcPr>
          <w:p w14:paraId="0CC9427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3.209</w:t>
            </w:r>
          </w:p>
        </w:tc>
      </w:tr>
      <w:tr w14:paraId="5D8510B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1" w:type="dxa"/>
            <w:vAlign w:val="center"/>
          </w:tcPr>
          <w:p w14:paraId="661624B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5×</w:t>
            </w:r>
          </w:p>
        </w:tc>
        <w:tc>
          <w:tcPr>
            <w:tcW w:w="981" w:type="dxa"/>
            <w:vAlign w:val="center"/>
          </w:tcPr>
          <w:p w14:paraId="16A1936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489.5</w:t>
            </w:r>
          </w:p>
        </w:tc>
        <w:tc>
          <w:tcPr>
            <w:tcW w:w="981" w:type="dxa"/>
            <w:vAlign w:val="center"/>
          </w:tcPr>
          <w:p w14:paraId="0FE8BD4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195.8</w:t>
            </w:r>
          </w:p>
        </w:tc>
        <w:tc>
          <w:tcPr>
            <w:tcW w:w="981" w:type="dxa"/>
            <w:vAlign w:val="center"/>
          </w:tcPr>
          <w:p w14:paraId="3BEBBF7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979.0</w:t>
            </w:r>
          </w:p>
        </w:tc>
        <w:tc>
          <w:tcPr>
            <w:tcW w:w="1055" w:type="dxa"/>
            <w:vAlign w:val="center"/>
          </w:tcPr>
          <w:p w14:paraId="1F011BA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0.000</w:t>
            </w:r>
          </w:p>
        </w:tc>
        <w:tc>
          <w:tcPr>
            <w:tcW w:w="914" w:type="dxa"/>
            <w:vAlign w:val="center"/>
          </w:tcPr>
          <w:p w14:paraId="635B020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0.394</w:t>
            </w:r>
          </w:p>
        </w:tc>
        <w:tc>
          <w:tcPr>
            <w:tcW w:w="1078" w:type="dxa"/>
            <w:vAlign w:val="center"/>
          </w:tcPr>
          <w:p w14:paraId="7574AED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0.000</w:t>
            </w:r>
          </w:p>
        </w:tc>
        <w:tc>
          <w:tcPr>
            <w:tcW w:w="1307" w:type="dxa"/>
            <w:vAlign w:val="center"/>
          </w:tcPr>
          <w:p w14:paraId="2435C56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3.247</w:t>
            </w:r>
          </w:p>
        </w:tc>
      </w:tr>
      <w:tr w14:paraId="5EE2125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1" w:type="dxa"/>
            <w:vAlign w:val="center"/>
          </w:tcPr>
          <w:p w14:paraId="77EFF9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10×</w:t>
            </w:r>
          </w:p>
        </w:tc>
        <w:tc>
          <w:tcPr>
            <w:tcW w:w="981" w:type="dxa"/>
            <w:vAlign w:val="center"/>
          </w:tcPr>
          <w:p w14:paraId="20060E2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979.0</w:t>
            </w:r>
          </w:p>
        </w:tc>
        <w:tc>
          <w:tcPr>
            <w:tcW w:w="981" w:type="dxa"/>
            <w:vAlign w:val="center"/>
          </w:tcPr>
          <w:p w14:paraId="18B391A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195.8</w:t>
            </w:r>
          </w:p>
        </w:tc>
        <w:tc>
          <w:tcPr>
            <w:tcW w:w="981" w:type="dxa"/>
            <w:vAlign w:val="center"/>
          </w:tcPr>
          <w:p w14:paraId="7B1493E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1958.0</w:t>
            </w:r>
          </w:p>
        </w:tc>
        <w:tc>
          <w:tcPr>
            <w:tcW w:w="1055" w:type="dxa"/>
            <w:vAlign w:val="center"/>
          </w:tcPr>
          <w:p w14:paraId="2A161AA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0.000</w:t>
            </w:r>
          </w:p>
        </w:tc>
        <w:tc>
          <w:tcPr>
            <w:tcW w:w="914" w:type="dxa"/>
            <w:vAlign w:val="center"/>
          </w:tcPr>
          <w:p w14:paraId="1B1EE4A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0.792</w:t>
            </w:r>
          </w:p>
        </w:tc>
        <w:tc>
          <w:tcPr>
            <w:tcW w:w="1078" w:type="dxa"/>
            <w:vAlign w:val="center"/>
          </w:tcPr>
          <w:p w14:paraId="32EF775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0.000</w:t>
            </w:r>
          </w:p>
        </w:tc>
        <w:tc>
          <w:tcPr>
            <w:tcW w:w="1307" w:type="dxa"/>
            <w:vAlign w:val="center"/>
          </w:tcPr>
          <w:p w14:paraId="4BCC89E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3.174</w:t>
            </w:r>
          </w:p>
        </w:tc>
      </w:tr>
    </w:tbl>
    <w:p w14:paraId="73332D67">
      <w:pPr>
        <w:spacing w:after="120" w:line="240" w:lineRule="auto"/>
        <w:ind w:firstLine="0"/>
      </w:pPr>
      <w:r>
        <w:t xml:space="preserve"> </w:t>
      </w:r>
    </w:p>
    <w:p w14:paraId="04C12CB1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定额结构在 5 倍跃迁时赔付完全归零</w:t>
      </w:r>
      <w:r>
        <w:rPr>
          <w:rFonts w:ascii="Times New Roman" w:hAnsi="Times New Roman" w:eastAsia="宋体" w:cs="Times New Roman"/>
          <w:color w:val="000000"/>
        </w:rPr>
        <w:t xml:space="preserve"> —— 分位层在全额赔付下取到 </w:t>
      </w:r>
      <m:oMath>
        <m:r>
          <m:rPr/>
          <m:t>D</m:t>
        </m:r>
        <m:r>
          <m:rPr>
            <m:sty m:val="p"/>
          </m:rPr>
          <m:t>=</m:t>
        </m:r>
        <m:sSub>
          <m:sSubPr/>
          <m:e>
            <m:r>
              <m:rPr/>
              <m:t>q</m:t>
            </m:r>
          </m:e>
          <m:sub>
            <m:r>
              <m:rPr/>
              <m:t>99.5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CAP</m:t>
        </m:r>
      </m:oMath>
      <w:r>
        <w:rPr>
          <w:rFonts w:ascii="Times New Roman" w:hAnsi="Times New Roman" w:eastAsia="宋体" w:cs="Times New Roman"/>
          <w:color w:val="000000"/>
        </w:rPr>
        <w:t>，层宽为 0。</w:t>
      </w:r>
      <w:r>
        <w:rPr>
          <w:rFonts w:ascii="Times New Roman" w:hAnsi="Times New Roman" w:eastAsia="黑体" w:cs="Times New Roman"/>
          <w:b/>
          <w:color w:val="000000"/>
        </w:rPr>
        <w:t>这比"赔少了"更严重：产品在高价位悄然失效，而恰是它最需要生效的时刻。</w:t>
      </w:r>
    </w:p>
    <w:p w14:paraId="2715B66C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>比例结构的费率比值（3.17×）看似上升，实为</w:t>
      </w:r>
      <w:r>
        <w:rPr>
          <w:rFonts w:ascii="Times New Roman" w:hAnsi="Times New Roman" w:eastAsia="黑体" w:cs="Times New Roman"/>
          <w:b/>
          <w:color w:val="000000"/>
        </w:rPr>
        <w:t>费率随保额同步放大而绝对值下降</w:t>
      </w:r>
      <w:r>
        <w:rPr>
          <w:rFonts w:ascii="Times New Roman" w:hAnsi="Times New Roman" w:eastAsia="宋体" w:cs="Times New Roman"/>
          <w:color w:val="000000"/>
        </w:rPr>
        <w:t>：费率从 0.026% 降至 0.083%，保障性价比随价格上涨而提升。</w:t>
      </w:r>
    </w:p>
    <w:p w14:paraId="368196C9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 xml:space="preserve">结论：责任上限与保费均须锚定当期价格水平，合同内固定不变的是 </w:t>
      </w:r>
      <m:oMath>
        <m:r>
          <m:rPr/>
          <m:t>κ</m:t>
        </m:r>
      </m:oMath>
      <w:r>
        <w:rPr>
          <w:rFonts w:ascii="Times New Roman" w:hAnsi="Times New Roman" w:eastAsia="宋体" w:cs="Times New Roman"/>
          <w:color w:val="000000"/>
        </w:rPr>
        <w:t xml:space="preserve">（倍数）与 </w:t>
      </w:r>
      <m:oMath>
        <m:r>
          <m:rPr/>
          <m:t>α</m:t>
        </m:r>
      </m:oMath>
      <w:r>
        <w:rPr>
          <w:rFonts w:ascii="Times New Roman" w:hAnsi="Times New Roman" w:eastAsia="宋体" w:cs="Times New Roman"/>
          <w:color w:val="000000"/>
        </w:rPr>
        <w:t>（比例），不是金额。</w:t>
      </w:r>
    </w:p>
    <w:p w14:paraId="07BB2707">
      <w:pPr>
        <w:pStyle w:val="5"/>
        <w:ind w:firstLine="0"/>
        <w:jc w:val="left"/>
      </w:pPr>
      <w:bookmarkStart w:id="15" w:name="_Toc22792"/>
      <w:r>
        <w:rPr>
          <w:rFonts w:ascii="Times New Roman" w:hAnsi="Times New Roman" w:eastAsia="黑体" w:cs="Times New Roman"/>
          <w:b/>
          <w:color w:val="000000"/>
          <w:sz w:val="28"/>
        </w:rPr>
        <w:t>3.4 赔付确认：日度观察 + 年度累计</w:t>
      </w:r>
      <w:bookmarkEnd w:id="15"/>
    </w:p>
    <w:p w14:paraId="0B23489D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>年末单点结算漏掉企业最痛的风险。引擎四条路径对照（份额 10%）：</w:t>
      </w:r>
    </w:p>
    <w:tbl>
      <w:tblPr>
        <w:tblStyle w:val="36"/>
        <w:tblW w:w="8278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1107"/>
        <w:gridCol w:w="1341"/>
        <w:gridCol w:w="1341"/>
        <w:gridCol w:w="1685"/>
        <w:gridCol w:w="1341"/>
      </w:tblGrid>
      <w:tr w14:paraId="6CD94B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63" w:type="dxa"/>
            <w:tcBorders>
              <w:bottom w:val="single" w:color="000000" w:sz="6" w:space="0"/>
            </w:tcBorders>
            <w:vAlign w:val="center"/>
          </w:tcPr>
          <w:p w14:paraId="21C25E3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路径</w:t>
            </w:r>
          </w:p>
        </w:tc>
        <w:tc>
          <w:tcPr>
            <w:tcW w:w="1107" w:type="dxa"/>
            <w:tcBorders>
              <w:bottom w:val="single" w:color="000000" w:sz="6" w:space="0"/>
            </w:tcBorders>
            <w:vAlign w:val="center"/>
          </w:tcPr>
          <w:p w14:paraId="7185701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 xml:space="preserve">年末 </w:t>
            </w:r>
            <m:oMath>
              <m:r>
                <m:rPr/>
                <m:t>P</m:t>
              </m:r>
            </m:oMath>
          </w:p>
        </w:tc>
        <w:tc>
          <w:tcPr>
            <w:tcW w:w="1341" w:type="dxa"/>
            <w:tcBorders>
              <w:bottom w:val="single" w:color="000000" w:sz="6" w:space="0"/>
            </w:tcBorders>
            <w:vAlign w:val="center"/>
          </w:tcPr>
          <w:p w14:paraId="2A074F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 xml:space="preserve">年内最高 </w:t>
            </w:r>
            <m:oMath>
              <m:r>
                <m:rPr/>
                <m:t>P</m:t>
              </m:r>
            </m:oMath>
          </w:p>
        </w:tc>
        <w:tc>
          <w:tcPr>
            <w:tcW w:w="1341" w:type="dxa"/>
            <w:tcBorders>
              <w:bottom w:val="single" w:color="000000" w:sz="6" w:space="0"/>
            </w:tcBorders>
            <w:vAlign w:val="center"/>
          </w:tcPr>
          <w:p w14:paraId="1AA00FA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日度口径赔付</w:t>
            </w:r>
          </w:p>
        </w:tc>
        <w:tc>
          <w:tcPr>
            <w:tcW w:w="1685" w:type="dxa"/>
            <w:tcBorders>
              <w:bottom w:val="single" w:color="000000" w:sz="6" w:space="0"/>
            </w:tcBorders>
            <w:vAlign w:val="center"/>
          </w:tcPr>
          <w:p w14:paraId="3BC5399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年末口径赔付</w:t>
            </w:r>
          </w:p>
        </w:tc>
        <w:tc>
          <w:tcPr>
            <w:tcW w:w="1341" w:type="dxa"/>
            <w:tcBorders>
              <w:bottom w:val="single" w:color="000000" w:sz="6" w:space="0"/>
            </w:tcBorders>
            <w:vAlign w:val="center"/>
          </w:tcPr>
          <w:p w14:paraId="4D21F74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时间错配缺口</w:t>
            </w:r>
          </w:p>
        </w:tc>
      </w:tr>
      <w:tr w14:paraId="7EF7423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3" w:type="dxa"/>
            <w:vAlign w:val="center"/>
          </w:tcPr>
          <w:p w14:paraId="2414A798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A 无触发</w:t>
            </w:r>
          </w:p>
        </w:tc>
        <w:tc>
          <w:tcPr>
            <w:tcW w:w="1107" w:type="dxa"/>
            <w:vAlign w:val="center"/>
          </w:tcPr>
          <w:p w14:paraId="05E7642A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97.90</w:t>
            </w:r>
          </w:p>
        </w:tc>
        <w:tc>
          <w:tcPr>
            <w:tcW w:w="1341" w:type="dxa"/>
            <w:vAlign w:val="center"/>
          </w:tcPr>
          <w:p w14:paraId="2A1C78B2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97.90</w:t>
            </w:r>
          </w:p>
        </w:tc>
        <w:tc>
          <w:tcPr>
            <w:tcW w:w="1341" w:type="dxa"/>
            <w:vAlign w:val="center"/>
          </w:tcPr>
          <w:p w14:paraId="614EFE7D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0.00</w:t>
            </w:r>
          </w:p>
        </w:tc>
        <w:tc>
          <w:tcPr>
            <w:tcW w:w="1685" w:type="dxa"/>
            <w:vAlign w:val="center"/>
          </w:tcPr>
          <w:p w14:paraId="5963CF5C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0.000</w:t>
            </w:r>
          </w:p>
        </w:tc>
        <w:tc>
          <w:tcPr>
            <w:tcW w:w="1341" w:type="dxa"/>
            <w:vAlign w:val="center"/>
          </w:tcPr>
          <w:p w14:paraId="23472A26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0.000</w:t>
            </w:r>
          </w:p>
        </w:tc>
      </w:tr>
      <w:tr w14:paraId="45211D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3" w:type="dxa"/>
            <w:vAlign w:val="center"/>
          </w:tcPr>
          <w:p w14:paraId="3C9C67D7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B 冲高后回落</w:t>
            </w:r>
          </w:p>
        </w:tc>
        <w:tc>
          <w:tcPr>
            <w:tcW w:w="1107" w:type="dxa"/>
            <w:vAlign w:val="center"/>
          </w:tcPr>
          <w:p w14:paraId="0B40529B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97.90</w:t>
            </w:r>
          </w:p>
        </w:tc>
        <w:tc>
          <w:tcPr>
            <w:tcW w:w="1341" w:type="dxa"/>
            <w:vAlign w:val="center"/>
          </w:tcPr>
          <w:p w14:paraId="54A18A3B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159.09</w:t>
            </w:r>
          </w:p>
        </w:tc>
        <w:tc>
          <w:tcPr>
            <w:tcW w:w="1341" w:type="dxa"/>
            <w:vAlign w:val="center"/>
          </w:tcPr>
          <w:p w14:paraId="41E9E72E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19.58</w:t>
            </w:r>
          </w:p>
        </w:tc>
        <w:tc>
          <w:tcPr>
            <w:tcW w:w="1685" w:type="dxa"/>
            <w:vAlign w:val="center"/>
          </w:tcPr>
          <w:p w14:paraId="1B6D02CE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0.000</w:t>
            </w:r>
          </w:p>
        </w:tc>
        <w:tc>
          <w:tcPr>
            <w:tcW w:w="1341" w:type="dxa"/>
            <w:vAlign w:val="center"/>
          </w:tcPr>
          <w:p w14:paraId="4C087B7F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19.580</w:t>
            </w:r>
          </w:p>
        </w:tc>
      </w:tr>
      <w:tr w14:paraId="339AF7A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3" w:type="dxa"/>
            <w:vAlign w:val="center"/>
          </w:tcPr>
          <w:p w14:paraId="2B9C9B16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C 持续抬升</w:t>
            </w:r>
          </w:p>
        </w:tc>
        <w:tc>
          <w:tcPr>
            <w:tcW w:w="1107" w:type="dxa"/>
            <w:vAlign w:val="center"/>
          </w:tcPr>
          <w:p w14:paraId="62B499C3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152.72</w:t>
            </w:r>
          </w:p>
        </w:tc>
        <w:tc>
          <w:tcPr>
            <w:tcW w:w="1341" w:type="dxa"/>
            <w:vAlign w:val="center"/>
          </w:tcPr>
          <w:p w14:paraId="120EF524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152.72</w:t>
            </w:r>
          </w:p>
        </w:tc>
        <w:tc>
          <w:tcPr>
            <w:tcW w:w="1341" w:type="dxa"/>
            <w:vAlign w:val="center"/>
          </w:tcPr>
          <w:p w14:paraId="6318F358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19.58</w:t>
            </w:r>
          </w:p>
        </w:tc>
        <w:tc>
          <w:tcPr>
            <w:tcW w:w="1685" w:type="dxa"/>
            <w:vAlign w:val="center"/>
          </w:tcPr>
          <w:p w14:paraId="44D34EF3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2.545</w:t>
            </w:r>
          </w:p>
        </w:tc>
        <w:tc>
          <w:tcPr>
            <w:tcW w:w="1341" w:type="dxa"/>
            <w:vAlign w:val="center"/>
          </w:tcPr>
          <w:p w14:paraId="72582045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17.035</w:t>
            </w:r>
          </w:p>
        </w:tc>
      </w:tr>
      <w:tr w14:paraId="15AC5F1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3" w:type="dxa"/>
            <w:vAlign w:val="center"/>
          </w:tcPr>
          <w:p w14:paraId="6BB7FDF5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D 全年高位</w:t>
            </w:r>
          </w:p>
        </w:tc>
        <w:tc>
          <w:tcPr>
            <w:tcW w:w="1107" w:type="dxa"/>
            <w:vAlign w:val="center"/>
          </w:tcPr>
          <w:p w14:paraId="6F463D2A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140.00</w:t>
            </w:r>
          </w:p>
        </w:tc>
        <w:tc>
          <w:tcPr>
            <w:tcW w:w="1341" w:type="dxa"/>
            <w:vAlign w:val="center"/>
          </w:tcPr>
          <w:p w14:paraId="27F17F0E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140.00</w:t>
            </w:r>
          </w:p>
        </w:tc>
        <w:tc>
          <w:tcPr>
            <w:tcW w:w="1341" w:type="dxa"/>
            <w:vAlign w:val="center"/>
          </w:tcPr>
          <w:p w14:paraId="559E0003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19.58</w:t>
            </w:r>
          </w:p>
        </w:tc>
        <w:tc>
          <w:tcPr>
            <w:tcW w:w="1685" w:type="dxa"/>
            <w:vAlign w:val="center"/>
          </w:tcPr>
          <w:p w14:paraId="31F554F3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1.273</w:t>
            </w:r>
          </w:p>
        </w:tc>
        <w:tc>
          <w:tcPr>
            <w:tcW w:w="1341" w:type="dxa"/>
            <w:vAlign w:val="center"/>
          </w:tcPr>
          <w:p w14:paraId="522D107A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18.307</w:t>
            </w:r>
          </w:p>
        </w:tc>
      </w:tr>
    </w:tbl>
    <w:p w14:paraId="5AC82878">
      <w:pPr>
        <w:spacing w:after="120" w:line="240" w:lineRule="auto"/>
        <w:ind w:firstLine="0"/>
      </w:pPr>
      <w:r>
        <w:t xml:space="preserve"> </w:t>
      </w:r>
    </w:p>
    <w:p w14:paraId="684C051A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路径 B 是决定性的</w:t>
      </w:r>
      <w:r>
        <w:rPr>
          <w:rFonts w:ascii="Times New Roman" w:hAnsi="Times New Roman" w:eastAsia="宋体" w:cs="Times New Roman"/>
          <w:color w:val="000000"/>
        </w:rPr>
        <w:t>：碳价 3 月冲高、12 月回落至起赔线以下，年末口径赔付为零，但企业 3 月确实多付了钱。</w:t>
      </w:r>
      <w:r>
        <w:rPr>
          <w:rFonts w:ascii="Times New Roman" w:hAnsi="Times New Roman" w:eastAsia="黑体" w:cs="Times New Roman"/>
          <w:b/>
          <w:color w:val="000000"/>
        </w:rPr>
        <w:t>时间错配缺口 19.58 元/吨</w:t>
      </w:r>
      <w:r>
        <w:rPr>
          <w:rFonts w:ascii="Times New Roman" w:hAnsi="Times New Roman" w:eastAsia="宋体" w:cs="Times New Roman"/>
          <w:color w:val="000000"/>
        </w:rPr>
        <w:t xml:space="preserve"> —— 这正是选择日度口径的直接依据。</w:t>
      </w:r>
    </w:p>
    <w:p w14:paraId="525C4722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 xml:space="preserve">触发次数上限 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宋体" w:cs="Times New Roman"/>
          <w:color w:val="000000"/>
        </w:rPr>
        <w:t xml:space="preserve"> 防波动年反复触发套利，实测报价随上限单调递增：</w:t>
      </w:r>
    </w:p>
    <w:tbl>
      <w:tblPr>
        <w:tblStyle w:val="36"/>
        <w:tblW w:w="8278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2242"/>
        <w:gridCol w:w="1234"/>
        <w:gridCol w:w="1234"/>
        <w:gridCol w:w="1234"/>
        <w:gridCol w:w="1173"/>
      </w:tblGrid>
      <w:tr w14:paraId="29540B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61" w:type="dxa"/>
            <w:tcBorders>
              <w:bottom w:val="single" w:color="000000" w:sz="6" w:space="0"/>
            </w:tcBorders>
            <w:vAlign w:val="center"/>
          </w:tcPr>
          <w:p w14:paraId="7B119738">
            <w:pPr>
              <w:spacing w:before="20" w:after="20" w:line="240" w:lineRule="auto"/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>
                        <m:sty m:val="p"/>
                      </m:rPr>
                      <m:t>max</m:t>
                    </m:r>
                  </m:sub>
                </m:sSub>
              </m:oMath>
            </m:oMathPara>
          </w:p>
        </w:tc>
        <w:tc>
          <w:tcPr>
            <w:tcW w:w="2242" w:type="dxa"/>
            <w:tcBorders>
              <w:bottom w:val="single" w:color="000000" w:sz="6" w:space="0"/>
            </w:tcBorders>
            <w:vAlign w:val="center"/>
          </w:tcPr>
          <w:p w14:paraId="23A1961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口径</w:t>
            </w:r>
          </w:p>
        </w:tc>
        <w:tc>
          <w:tcPr>
            <w:tcW w:w="1234" w:type="dxa"/>
            <w:tcBorders>
              <w:bottom w:val="single" w:color="000000" w:sz="6" w:space="0"/>
            </w:tcBorders>
            <w:vAlign w:val="center"/>
          </w:tcPr>
          <w:p w14:paraId="2D431ED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期望赔付</w:t>
            </w:r>
          </w:p>
        </w:tc>
        <w:tc>
          <w:tcPr>
            <w:tcW w:w="1234" w:type="dxa"/>
            <w:tcBorders>
              <w:bottom w:val="single" w:color="000000" w:sz="6" w:space="0"/>
            </w:tcBorders>
            <w:vAlign w:val="center"/>
          </w:tcPr>
          <w:p w14:paraId="597EA8C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报价</w:t>
            </w:r>
          </w:p>
        </w:tc>
        <w:tc>
          <w:tcPr>
            <w:tcW w:w="1234" w:type="dxa"/>
            <w:tcBorders>
              <w:bottom w:val="single" w:color="000000" w:sz="6" w:space="0"/>
            </w:tcBorders>
            <w:vAlign w:val="center"/>
          </w:tcPr>
          <w:p w14:paraId="68256BB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赔付率</w:t>
            </w:r>
          </w:p>
        </w:tc>
        <w:tc>
          <w:tcPr>
            <w:tcW w:w="1173" w:type="dxa"/>
            <w:tcBorders>
              <w:bottom w:val="single" w:color="000000" w:sz="6" w:space="0"/>
            </w:tcBorders>
            <w:vAlign w:val="center"/>
          </w:tcPr>
          <w:p w14:paraId="0A3BE5C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封顶频率</w:t>
            </w:r>
          </w:p>
        </w:tc>
      </w:tr>
      <w:tr w14:paraId="1EF98E2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  <w:vAlign w:val="center"/>
          </w:tcPr>
          <w:p w14:paraId="218BE267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</w:t>
            </w:r>
          </w:p>
        </w:tc>
        <w:tc>
          <w:tcPr>
            <w:tcW w:w="2242" w:type="dxa"/>
            <w:vAlign w:val="center"/>
          </w:tcPr>
          <w:p w14:paraId="28434BCC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年末单点（≈v2 口径）</w:t>
            </w:r>
          </w:p>
        </w:tc>
        <w:tc>
          <w:tcPr>
            <w:tcW w:w="1234" w:type="dxa"/>
            <w:vAlign w:val="center"/>
          </w:tcPr>
          <w:p w14:paraId="4A2889D2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0.031</w:t>
            </w:r>
          </w:p>
        </w:tc>
        <w:tc>
          <w:tcPr>
            <w:tcW w:w="1234" w:type="dxa"/>
            <w:vAlign w:val="center"/>
          </w:tcPr>
          <w:p w14:paraId="7A3AAC03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0.067</w:t>
            </w:r>
          </w:p>
        </w:tc>
        <w:tc>
          <w:tcPr>
            <w:tcW w:w="1234" w:type="dxa"/>
            <w:vAlign w:val="center"/>
          </w:tcPr>
          <w:p w14:paraId="3404DD63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46.4%</w:t>
            </w:r>
          </w:p>
        </w:tc>
        <w:tc>
          <w:tcPr>
            <w:tcW w:w="1173" w:type="dxa"/>
            <w:vAlign w:val="center"/>
          </w:tcPr>
          <w:p w14:paraId="639451FA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0%</w:t>
            </w:r>
          </w:p>
        </w:tc>
      </w:tr>
      <w:tr w14:paraId="265C23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  <w:vAlign w:val="center"/>
          </w:tcPr>
          <w:p w14:paraId="04D7D7D5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3</w:t>
            </w:r>
          </w:p>
        </w:tc>
        <w:tc>
          <w:tcPr>
            <w:tcW w:w="2242" w:type="dxa"/>
            <w:vAlign w:val="center"/>
          </w:tcPr>
          <w:p w14:paraId="5581A47F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最多 3 次</w:t>
            </w:r>
          </w:p>
        </w:tc>
        <w:tc>
          <w:tcPr>
            <w:tcW w:w="1234" w:type="dxa"/>
            <w:vAlign w:val="center"/>
          </w:tcPr>
          <w:p w14:paraId="55D31B65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0.115</w:t>
            </w:r>
          </w:p>
        </w:tc>
        <w:tc>
          <w:tcPr>
            <w:tcW w:w="1234" w:type="dxa"/>
            <w:vAlign w:val="center"/>
          </w:tcPr>
          <w:p w14:paraId="6BBFB489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0.247</w:t>
            </w:r>
          </w:p>
        </w:tc>
        <w:tc>
          <w:tcPr>
            <w:tcW w:w="1234" w:type="dxa"/>
            <w:vAlign w:val="center"/>
          </w:tcPr>
          <w:p w14:paraId="3EDC4876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46.6%</w:t>
            </w:r>
          </w:p>
        </w:tc>
        <w:tc>
          <w:tcPr>
            <w:tcW w:w="1173" w:type="dxa"/>
            <w:vAlign w:val="center"/>
          </w:tcPr>
          <w:p w14:paraId="09D79E9F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0%</w:t>
            </w:r>
          </w:p>
        </w:tc>
      </w:tr>
      <w:tr w14:paraId="14FB1D7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  <w:vAlign w:val="center"/>
          </w:tcPr>
          <w:p w14:paraId="0AC20919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5</w:t>
            </w:r>
          </w:p>
        </w:tc>
        <w:tc>
          <w:tcPr>
            <w:tcW w:w="2242" w:type="dxa"/>
            <w:vAlign w:val="center"/>
          </w:tcPr>
          <w:p w14:paraId="51654DEA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最多 5 次（基准）</w:t>
            </w:r>
          </w:p>
        </w:tc>
        <w:tc>
          <w:tcPr>
            <w:tcW w:w="1234" w:type="dxa"/>
            <w:vAlign w:val="center"/>
          </w:tcPr>
          <w:p w14:paraId="5AC0618F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0.239</w:t>
            </w:r>
          </w:p>
        </w:tc>
        <w:tc>
          <w:tcPr>
            <w:tcW w:w="1234" w:type="dxa"/>
            <w:vAlign w:val="center"/>
          </w:tcPr>
          <w:p w14:paraId="616E4D94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0.514</w:t>
            </w:r>
          </w:p>
        </w:tc>
        <w:tc>
          <w:tcPr>
            <w:tcW w:w="1234" w:type="dxa"/>
            <w:vAlign w:val="center"/>
          </w:tcPr>
          <w:p w14:paraId="4A4FE0B6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46.5%</w:t>
            </w:r>
          </w:p>
        </w:tc>
        <w:tc>
          <w:tcPr>
            <w:tcW w:w="1173" w:type="dxa"/>
            <w:vAlign w:val="center"/>
          </w:tcPr>
          <w:p w14:paraId="05C3B0E3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0%</w:t>
            </w:r>
          </w:p>
        </w:tc>
      </w:tr>
      <w:tr w14:paraId="32474D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  <w:vAlign w:val="center"/>
          </w:tcPr>
          <w:p w14:paraId="5FCF57E1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10</w:t>
            </w:r>
          </w:p>
        </w:tc>
        <w:tc>
          <w:tcPr>
            <w:tcW w:w="2242" w:type="dxa"/>
            <w:vAlign w:val="center"/>
          </w:tcPr>
          <w:p w14:paraId="68095A40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最多 10 次</w:t>
            </w:r>
          </w:p>
        </w:tc>
        <w:tc>
          <w:tcPr>
            <w:tcW w:w="1234" w:type="dxa"/>
            <w:vAlign w:val="center"/>
          </w:tcPr>
          <w:p w14:paraId="07BB7F23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0.684</w:t>
            </w:r>
          </w:p>
        </w:tc>
        <w:tc>
          <w:tcPr>
            <w:tcW w:w="1234" w:type="dxa"/>
            <w:vAlign w:val="center"/>
          </w:tcPr>
          <w:p w14:paraId="4066DE5F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1.465</w:t>
            </w:r>
          </w:p>
        </w:tc>
        <w:tc>
          <w:tcPr>
            <w:tcW w:w="1234" w:type="dxa"/>
            <w:vAlign w:val="center"/>
          </w:tcPr>
          <w:p w14:paraId="13C6302C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46.7%</w:t>
            </w:r>
          </w:p>
        </w:tc>
        <w:tc>
          <w:tcPr>
            <w:tcW w:w="1173" w:type="dxa"/>
            <w:vAlign w:val="center"/>
          </w:tcPr>
          <w:p w14:paraId="5E5E00D1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0%</w:t>
            </w:r>
          </w:p>
        </w:tc>
      </w:tr>
      <w:tr w14:paraId="001B21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  <w:vAlign w:val="center"/>
          </w:tcPr>
          <w:p w14:paraId="7126E7D2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99</w:t>
            </w:r>
          </w:p>
        </w:tc>
        <w:tc>
          <w:tcPr>
            <w:tcW w:w="2242" w:type="dxa"/>
            <w:vAlign w:val="center"/>
          </w:tcPr>
          <w:p w14:paraId="6301D1D7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不限次</w:t>
            </w:r>
          </w:p>
        </w:tc>
        <w:tc>
          <w:tcPr>
            <w:tcW w:w="1234" w:type="dxa"/>
            <w:vAlign w:val="center"/>
          </w:tcPr>
          <w:p w14:paraId="0084E420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3.322</w:t>
            </w:r>
          </w:p>
        </w:tc>
        <w:tc>
          <w:tcPr>
            <w:tcW w:w="1234" w:type="dxa"/>
            <w:vAlign w:val="center"/>
          </w:tcPr>
          <w:p w14:paraId="072085A5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5.074</w:t>
            </w:r>
          </w:p>
        </w:tc>
        <w:tc>
          <w:tcPr>
            <w:tcW w:w="1234" w:type="dxa"/>
            <w:vAlign w:val="center"/>
          </w:tcPr>
          <w:p w14:paraId="337C2CE7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65.5%</w:t>
            </w:r>
          </w:p>
        </w:tc>
        <w:tc>
          <w:tcPr>
            <w:tcW w:w="1173" w:type="dxa"/>
            <w:vAlign w:val="center"/>
          </w:tcPr>
          <w:p w14:paraId="3561AE6D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18.8%</w:t>
            </w:r>
          </w:p>
        </w:tc>
      </w:tr>
    </w:tbl>
    <w:p w14:paraId="542C452D">
      <w:pPr>
        <w:spacing w:after="120" w:line="240" w:lineRule="auto"/>
        <w:ind w:firstLine="0"/>
      </w:pPr>
      <w:r>
        <w:t xml:space="preserve"> </w:t>
      </w:r>
    </w:p>
    <w:p w14:paraId="4D82FE1E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结算安排</w:t>
      </w:r>
      <w:r>
        <w:rPr>
          <w:rFonts w:ascii="Times New Roman" w:hAnsi="Times New Roman" w:eastAsia="宋体" w:cs="Times New Roman"/>
          <w:color w:val="000000"/>
        </w:rPr>
        <w:t>：日度计算、年度终了后 15 个交易日一次性确认支付，投保人无须逐日报赔。</w:t>
      </w:r>
    </w:p>
    <w:p w14:paraId="5C652DB3">
      <w:pPr>
        <w:pBdr>
          <w:left w:val="single" w:color="808080" w:sz="6" w:space="8"/>
        </w:pBdr>
        <w:spacing w:after="40" w:line="312" w:lineRule="auto"/>
        <w:ind w:left="400" w:firstLine="0"/>
      </w:pPr>
      <w:r>
        <w:rPr>
          <w:rFonts w:ascii="Times New Roman" w:hAnsi="Times New Roman" w:eastAsia="黑体" w:cs="Times New Roman"/>
          <w:b/>
          <w:color w:val="000000"/>
          <w:sz w:val="21"/>
        </w:rPr>
        <w:t>口径注</w:t>
      </w:r>
      <w:r>
        <w:rPr>
          <w:rFonts w:ascii="Times New Roman" w:hAnsi="Times New Roman" w:eastAsia="楷体" w:cs="Times New Roman"/>
          <w:color w:val="000000"/>
          <w:sz w:val="21"/>
        </w:rPr>
        <w:t>：本表与 T1/T2 用 40,000 路径（同一随机流，便于结构对照）；§3.6 与摘要用 80,000 路径。同一参数下两者报价 0.514 与 0.508，差异 1.2%，属蒙特卡洛噪声。</w:t>
      </w:r>
    </w:p>
    <w:p w14:paraId="63511602">
      <w:pPr>
        <w:pStyle w:val="5"/>
        <w:ind w:firstLine="0"/>
        <w:jc w:val="left"/>
      </w:pPr>
      <w:bookmarkStart w:id="16" w:name="_Toc12865"/>
      <w:r>
        <w:rPr>
          <w:rFonts w:ascii="Times New Roman" w:hAnsi="Times New Roman" w:eastAsia="黑体" w:cs="Times New Roman"/>
          <w:b/>
          <w:color w:val="000000"/>
          <w:sz w:val="28"/>
        </w:rPr>
        <w:t>3.5 组合分散因子取 1.00</w:t>
      </w:r>
      <w:bookmarkEnd w:id="16"/>
    </w:p>
    <w:p w14:paraId="22EEE7F3">
      <w:pPr>
        <w:spacing w:after="40" w:line="360" w:lineRule="auto"/>
        <w:ind w:firstLine="480"/>
      </w:pPr>
      <m:oMath>
        <m:r>
          <m:rPr/>
          <m:t>ϕ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acc>
              <m:accPr>
                <m:chr m:val="‾"/>
              </m:accPr>
              <m:e>
                <m:r>
                  <m:rPr/>
                  <m:t>ρ</m:t>
                </m:r>
              </m:e>
            </m:acc>
            <m:r>
              <m:rPr>
                <m:sty m:val="p"/>
              </m:rPr>
              <m:t>+(</m:t>
            </m:r>
            <m:r>
              <m:rPr/>
              <m:t>1</m:t>
            </m:r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rPr/>
                  <m:t>ρ</m:t>
                </m:r>
              </m:e>
            </m:acc>
            <m:r>
              <m:rPr>
                <m:sty m:val="p"/>
              </m:rPr>
              <m:t>)/</m:t>
            </m:r>
            <m:sSub>
              <m:sSubPr/>
              <m:e>
                <m:r>
                  <m:rPr/>
                  <m:t>n</m:t>
                </m:r>
              </m:e>
              <m:sub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eff</m:t>
                </m:r>
              </m:sub>
            </m:sSub>
          </m:e>
        </m:rad>
        <m:r>
          <m:rPr>
            <m:sty m:val="p"/>
          </m:rPr>
          <m:t>=</m:t>
        </m:r>
        <m:r>
          <m:rPr/>
          <m:t>0.5541</m:t>
        </m:r>
      </m:oMath>
      <w:r>
        <w:rPr>
          <w:rFonts w:ascii="Times New Roman" w:hAnsi="Times New Roman" w:eastAsia="宋体" w:cs="Times New Roman"/>
          <w:color w:val="000000"/>
        </w:rPr>
        <w:t xml:space="preserve"> 的分散收益来自"</w:t>
      </w:r>
      <m:oMath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eff</m:t>
            </m:r>
          </m:sub>
        </m:sSub>
      </m:oMath>
      <w:r>
        <w:rPr>
          <w:rFonts w:ascii="Times New Roman" w:hAnsi="Times New Roman" w:eastAsia="宋体" w:cs="Times New Roman"/>
          <w:color w:val="000000"/>
        </w:rPr>
        <w:t xml:space="preserve"> 个</w:t>
      </w:r>
      <w:r>
        <w:rPr>
          <w:rFonts w:ascii="Times New Roman" w:hAnsi="Times New Roman" w:eastAsia="黑体" w:cs="Times New Roman"/>
          <w:b/>
          <w:color w:val="000000"/>
        </w:rPr>
        <w:t>相互独立</w:t>
      </w:r>
      <w:r>
        <w:rPr>
          <w:rFonts w:ascii="Times New Roman" w:hAnsi="Times New Roman" w:eastAsia="宋体" w:cs="Times New Roman"/>
          <w:color w:val="000000"/>
        </w:rPr>
        <w:t>的风险单位"。但本产品标的是</w:t>
      </w:r>
      <w:r>
        <w:rPr>
          <w:rFonts w:ascii="Times New Roman" w:hAnsi="Times New Roman" w:eastAsia="黑体" w:cs="Times New Roman"/>
          <w:b/>
          <w:color w:val="000000"/>
        </w:rPr>
        <w:t>全国碳价</w:t>
      </w:r>
      <w:r>
        <w:rPr>
          <w:rFonts w:ascii="Times New Roman" w:hAnsi="Times New Roman" w:eastAsia="宋体" w:cs="Times New Roman"/>
          <w:color w:val="000000"/>
        </w:rPr>
        <w:t>—— 单一价格、单一指数，所有控排企业面对同一个报价。</w:t>
      </w:r>
      <w:r>
        <w:rPr>
          <w:rFonts w:ascii="Times New Roman" w:hAnsi="Times New Roman" w:eastAsia="黑体" w:cs="Times New Roman"/>
          <w:b/>
          <w:color w:val="000000"/>
        </w:rPr>
        <w:t>碳价涨，全部保单同日同幅触发 ⇒ 截面相关 = 1，被分散掉的方差为 0。</w:t>
      </w:r>
    </w:p>
    <w:p w14:paraId="0524F713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>真实可算的分散来源只有三条且都很弱：缺口量异质（中等，同行业高度同步）、免赔分位位置异质（弱，统一定价则无分散）、触发日异质（</w:t>
      </w:r>
      <w:r>
        <w:rPr>
          <w:rFonts w:ascii="Times New Roman" w:hAnsi="Times New Roman" w:eastAsia="黑体" w:cs="Times New Roman"/>
          <w:b/>
          <w:color w:val="000000"/>
        </w:rPr>
        <w:t>零</w:t>
      </w:r>
      <w:r>
        <w:rPr>
          <w:rFonts w:ascii="Times New Roman" w:hAnsi="Times New Roman" w:eastAsia="宋体" w:cs="Times New Roman"/>
          <w:color w:val="000000"/>
        </w:rPr>
        <w:t>）。</w:t>
      </w:r>
    </w:p>
    <w:p w14:paraId="4F78EF07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 xml:space="preserve">故主口径取 </w:t>
      </w:r>
      <m:oMath>
        <m:r>
          <m:rPr/>
          <m:t>ϕ</m:t>
        </m:r>
        <m:r>
          <m:rPr>
            <m:sty m:val="p"/>
          </m:rPr>
          <m:t>=</m:t>
        </m:r>
        <m:r>
          <m:rPr/>
          <m:t>1.00</m:t>
        </m:r>
      </m:oMath>
      <w:r>
        <w:rPr>
          <w:rFonts w:ascii="Times New Roman" w:hAnsi="Times New Roman" w:eastAsia="宋体" w:cs="Times New Roman"/>
          <w:color w:val="000000"/>
        </w:rPr>
        <w:t xml:space="preserve">（保守、可辩护），0.5541 降为"若组合确实异质时的乐观情形"。这不是精修余量，而是"是否真实反映了分散能力"这个根本问题 —— 若日后能量化三个分散来源中至少一条，方可下调 </w:t>
      </w:r>
      <m:oMath>
        <m:r>
          <m:rPr/>
          <m:t>ϕ</m:t>
        </m:r>
      </m:oMath>
      <w:r>
        <w:rPr>
          <w:rFonts w:ascii="Times New Roman" w:hAnsi="Times New Roman" w:eastAsia="宋体" w:cs="Times New Roman"/>
          <w:color w:val="000000"/>
        </w:rPr>
        <w:t xml:space="preserve"> 并相应降低保费。</w:t>
      </w:r>
    </w:p>
    <w:p w14:paraId="2AE1258E">
      <w:pPr>
        <w:pStyle w:val="5"/>
        <w:ind w:firstLine="0"/>
        <w:jc w:val="left"/>
      </w:pPr>
      <w:bookmarkStart w:id="17" w:name="_Toc2235"/>
      <w:r>
        <w:rPr>
          <w:rFonts w:ascii="Times New Roman" w:hAnsi="Times New Roman" w:eastAsia="黑体" w:cs="Times New Roman"/>
          <w:b/>
          <w:color w:val="000000"/>
          <w:sz w:val="28"/>
        </w:rPr>
        <w:t>3.6 报价与份额的商业含义</w:t>
      </w:r>
      <w:bookmarkEnd w:id="17"/>
    </w:p>
    <w:tbl>
      <w:tblPr>
        <w:tblStyle w:val="36"/>
        <w:tblW w:w="8278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1597"/>
        <w:gridCol w:w="1113"/>
        <w:gridCol w:w="1313"/>
        <w:gridCol w:w="1234"/>
        <w:gridCol w:w="1379"/>
      </w:tblGrid>
      <w:tr w14:paraId="49A0166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42" w:type="dxa"/>
            <w:tcBorders>
              <w:bottom w:val="single" w:color="000000" w:sz="6" w:space="0"/>
            </w:tcBorders>
            <w:vAlign w:val="center"/>
          </w:tcPr>
          <w:p w14:paraId="74AC446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 xml:space="preserve">份额 </w:t>
            </w:r>
            <m:oMath>
              <m:r>
                <m:rPr/>
                <m:t>α</m:t>
              </m:r>
            </m:oMath>
          </w:p>
        </w:tc>
        <w:tc>
          <w:tcPr>
            <w:tcW w:w="1597" w:type="dxa"/>
            <w:tcBorders>
              <w:bottom w:val="single" w:color="000000" w:sz="6" w:space="0"/>
            </w:tcBorders>
            <w:vAlign w:val="center"/>
          </w:tcPr>
          <w:p w14:paraId="7F5FA5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报价（元/吨）</w:t>
            </w:r>
          </w:p>
        </w:tc>
        <w:tc>
          <w:tcPr>
            <w:tcW w:w="1113" w:type="dxa"/>
            <w:tcBorders>
              <w:bottom w:val="single" w:color="000000" w:sz="6" w:space="0"/>
            </w:tcBorders>
            <w:vAlign w:val="center"/>
          </w:tcPr>
          <w:p w14:paraId="404106B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费率</w:t>
            </w:r>
          </w:p>
        </w:tc>
        <w:tc>
          <w:tcPr>
            <w:tcW w:w="1313" w:type="dxa"/>
            <w:tcBorders>
              <w:bottom w:val="single" w:color="000000" w:sz="6" w:space="0"/>
            </w:tcBorders>
            <w:vAlign w:val="center"/>
          </w:tcPr>
          <w:p w14:paraId="1D47C72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期望赔付</w:t>
            </w:r>
          </w:p>
        </w:tc>
        <w:tc>
          <w:tcPr>
            <w:tcW w:w="1234" w:type="dxa"/>
            <w:tcBorders>
              <w:bottom w:val="single" w:color="000000" w:sz="6" w:space="0"/>
            </w:tcBorders>
            <w:vAlign w:val="center"/>
          </w:tcPr>
          <w:p w14:paraId="58BAD87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层宽</w:t>
            </w:r>
          </w:p>
        </w:tc>
        <w:tc>
          <w:tcPr>
            <w:tcW w:w="1379" w:type="dxa"/>
            <w:tcBorders>
              <w:bottom w:val="single" w:color="000000" w:sz="6" w:space="0"/>
            </w:tcBorders>
            <w:vAlign w:val="center"/>
          </w:tcPr>
          <w:p w14:paraId="5350304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保费/锚价</w:t>
            </w:r>
          </w:p>
        </w:tc>
      </w:tr>
      <w:tr w14:paraId="5108076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2" w:type="dxa"/>
            <w:vAlign w:val="center"/>
          </w:tcPr>
          <w:p w14:paraId="5E84F5A4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5%</w:t>
            </w:r>
          </w:p>
        </w:tc>
        <w:tc>
          <w:tcPr>
            <w:tcW w:w="1597" w:type="dxa"/>
            <w:vAlign w:val="center"/>
          </w:tcPr>
          <w:p w14:paraId="109AE66B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0.254</w:t>
            </w:r>
          </w:p>
        </w:tc>
        <w:tc>
          <w:tcPr>
            <w:tcW w:w="1113" w:type="dxa"/>
            <w:vAlign w:val="center"/>
          </w:tcPr>
          <w:p w14:paraId="5DC7C236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0.13%</w:t>
            </w:r>
          </w:p>
        </w:tc>
        <w:tc>
          <w:tcPr>
            <w:tcW w:w="1313" w:type="dxa"/>
            <w:vAlign w:val="center"/>
          </w:tcPr>
          <w:p w14:paraId="0D3576AA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0.118</w:t>
            </w:r>
          </w:p>
        </w:tc>
        <w:tc>
          <w:tcPr>
            <w:tcW w:w="1234" w:type="dxa"/>
            <w:vAlign w:val="center"/>
          </w:tcPr>
          <w:p w14:paraId="5B248169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1.593</w:t>
            </w:r>
          </w:p>
        </w:tc>
        <w:tc>
          <w:tcPr>
            <w:tcW w:w="1379" w:type="dxa"/>
            <w:vAlign w:val="center"/>
          </w:tcPr>
          <w:p w14:paraId="1AA7A049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0.26%</w:t>
            </w:r>
          </w:p>
        </w:tc>
      </w:tr>
      <w:tr w14:paraId="42CAE9F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2" w:type="dxa"/>
            <w:vAlign w:val="center"/>
          </w:tcPr>
          <w:p w14:paraId="38B653CB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10%（基准）</w:t>
            </w:r>
          </w:p>
        </w:tc>
        <w:tc>
          <w:tcPr>
            <w:tcW w:w="1597" w:type="dxa"/>
            <w:vAlign w:val="center"/>
          </w:tcPr>
          <w:p w14:paraId="6A5497A7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0.508</w:t>
            </w:r>
          </w:p>
        </w:tc>
        <w:tc>
          <w:tcPr>
            <w:tcW w:w="1113" w:type="dxa"/>
            <w:vAlign w:val="center"/>
          </w:tcPr>
          <w:p w14:paraId="2EA2F53A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0.26%</w:t>
            </w:r>
          </w:p>
        </w:tc>
        <w:tc>
          <w:tcPr>
            <w:tcW w:w="1313" w:type="dxa"/>
            <w:vAlign w:val="center"/>
          </w:tcPr>
          <w:p w14:paraId="7119748C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0.237</w:t>
            </w:r>
          </w:p>
        </w:tc>
        <w:tc>
          <w:tcPr>
            <w:tcW w:w="1234" w:type="dxa"/>
            <w:vAlign w:val="center"/>
          </w:tcPr>
          <w:p w14:paraId="56A104D4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3.186</w:t>
            </w:r>
          </w:p>
        </w:tc>
        <w:tc>
          <w:tcPr>
            <w:tcW w:w="1379" w:type="dxa"/>
            <w:vAlign w:val="center"/>
          </w:tcPr>
          <w:p w14:paraId="51E8555C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0.52%</w:t>
            </w:r>
          </w:p>
        </w:tc>
      </w:tr>
      <w:tr w14:paraId="5718E7D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2" w:type="dxa"/>
            <w:vAlign w:val="center"/>
          </w:tcPr>
          <w:p w14:paraId="3E338872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30%</w:t>
            </w:r>
          </w:p>
        </w:tc>
        <w:tc>
          <w:tcPr>
            <w:tcW w:w="1597" w:type="dxa"/>
            <w:vAlign w:val="center"/>
          </w:tcPr>
          <w:p w14:paraId="27C281CA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1.523</w:t>
            </w:r>
          </w:p>
        </w:tc>
        <w:tc>
          <w:tcPr>
            <w:tcW w:w="1113" w:type="dxa"/>
            <w:vAlign w:val="center"/>
          </w:tcPr>
          <w:p w14:paraId="2A063733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0.78%</w:t>
            </w:r>
          </w:p>
        </w:tc>
        <w:tc>
          <w:tcPr>
            <w:tcW w:w="1313" w:type="dxa"/>
            <w:vAlign w:val="center"/>
          </w:tcPr>
          <w:p w14:paraId="7AB3EC8E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0.710</w:t>
            </w:r>
          </w:p>
        </w:tc>
        <w:tc>
          <w:tcPr>
            <w:tcW w:w="1234" w:type="dxa"/>
            <w:vAlign w:val="center"/>
          </w:tcPr>
          <w:p w14:paraId="22750A26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9.557</w:t>
            </w:r>
          </w:p>
        </w:tc>
        <w:tc>
          <w:tcPr>
            <w:tcW w:w="1379" w:type="dxa"/>
            <w:vAlign w:val="center"/>
          </w:tcPr>
          <w:p w14:paraId="38B4994C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1.56%</w:t>
            </w:r>
          </w:p>
        </w:tc>
      </w:tr>
      <w:tr w14:paraId="1FD8B1D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2" w:type="dxa"/>
            <w:vAlign w:val="center"/>
          </w:tcPr>
          <w:p w14:paraId="44E8BF3B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50%</w:t>
            </w:r>
          </w:p>
        </w:tc>
        <w:tc>
          <w:tcPr>
            <w:tcW w:w="1597" w:type="dxa"/>
            <w:vAlign w:val="center"/>
          </w:tcPr>
          <w:p w14:paraId="5E01434B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2.538</w:t>
            </w:r>
          </w:p>
        </w:tc>
        <w:tc>
          <w:tcPr>
            <w:tcW w:w="1113" w:type="dxa"/>
            <w:vAlign w:val="center"/>
          </w:tcPr>
          <w:p w14:paraId="2912EA15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1.30%</w:t>
            </w:r>
          </w:p>
        </w:tc>
        <w:tc>
          <w:tcPr>
            <w:tcW w:w="1313" w:type="dxa"/>
            <w:vAlign w:val="center"/>
          </w:tcPr>
          <w:p w14:paraId="7365A718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1.183</w:t>
            </w:r>
          </w:p>
        </w:tc>
        <w:tc>
          <w:tcPr>
            <w:tcW w:w="1234" w:type="dxa"/>
            <w:vAlign w:val="center"/>
          </w:tcPr>
          <w:p w14:paraId="0A18822B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15.928</w:t>
            </w:r>
          </w:p>
        </w:tc>
        <w:tc>
          <w:tcPr>
            <w:tcW w:w="1379" w:type="dxa"/>
            <w:vAlign w:val="center"/>
          </w:tcPr>
          <w:p w14:paraId="01C8FE94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2.59%</w:t>
            </w:r>
          </w:p>
        </w:tc>
      </w:tr>
      <w:tr w14:paraId="1F2C41B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2" w:type="dxa"/>
            <w:vAlign w:val="center"/>
          </w:tcPr>
          <w:p w14:paraId="5EAF2239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100%</w:t>
            </w:r>
          </w:p>
        </w:tc>
        <w:tc>
          <w:tcPr>
            <w:tcW w:w="1597" w:type="dxa"/>
            <w:vAlign w:val="center"/>
          </w:tcPr>
          <w:p w14:paraId="565FB0A8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5.076</w:t>
            </w:r>
          </w:p>
        </w:tc>
        <w:tc>
          <w:tcPr>
            <w:tcW w:w="1113" w:type="dxa"/>
            <w:vAlign w:val="center"/>
          </w:tcPr>
          <w:p w14:paraId="05CBDA0C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2.59%</w:t>
            </w:r>
          </w:p>
        </w:tc>
        <w:tc>
          <w:tcPr>
            <w:tcW w:w="1313" w:type="dxa"/>
            <w:vAlign w:val="center"/>
          </w:tcPr>
          <w:p w14:paraId="61814BCD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2.366</w:t>
            </w:r>
          </w:p>
        </w:tc>
        <w:tc>
          <w:tcPr>
            <w:tcW w:w="1234" w:type="dxa"/>
            <w:vAlign w:val="center"/>
          </w:tcPr>
          <w:p w14:paraId="3E106C5D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31.855</w:t>
            </w:r>
          </w:p>
        </w:tc>
        <w:tc>
          <w:tcPr>
            <w:tcW w:w="1379" w:type="dxa"/>
            <w:vAlign w:val="center"/>
          </w:tcPr>
          <w:p w14:paraId="6D44A28A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5.19%</w:t>
            </w:r>
          </w:p>
        </w:tc>
      </w:tr>
    </w:tbl>
    <w:p w14:paraId="0EDBF33D">
      <w:pPr>
        <w:spacing w:after="120" w:line="240" w:lineRule="auto"/>
        <w:ind w:firstLine="0"/>
      </w:pPr>
      <w:r>
        <w:t xml:space="preserve"> </w:t>
      </w:r>
    </w:p>
    <w:p w14:paraId="2245FD27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全额承保报价 5.08 元/吨亦低于 89 元/吨判据</w:t>
      </w:r>
      <w:r>
        <w:rPr>
          <w:rFonts w:ascii="Times New Roman" w:hAnsi="Times New Roman" w:eastAsia="宋体" w:cs="Times New Roman"/>
          <w:color w:val="000000"/>
        </w:rPr>
        <w:t xml:space="preserve"> ⇒ </w:t>
      </w:r>
      <w:r>
        <w:rPr>
          <w:rFonts w:ascii="Times New Roman" w:hAnsi="Times New Roman" w:eastAsia="黑体" w:cs="Times New Roman"/>
          <w:b/>
          <w:color w:val="000000"/>
        </w:rPr>
        <w:t>份额承保不是可行性杠杆，而是投保人的风险自留选择。</w:t>
      </w:r>
      <w:r>
        <w:rPr>
          <w:rFonts w:ascii="Times New Roman" w:hAnsi="Times New Roman" w:eastAsia="宋体" w:cs="Times New Roman"/>
          <w:color w:val="000000"/>
        </w:rPr>
        <w:t xml:space="preserve"> 三点须向客户说明：</w:t>
      </w:r>
    </w:p>
    <w:p w14:paraId="3F759832">
      <w:pPr>
        <w:pStyle w:val="16"/>
        <w:spacing w:after="40" w:line="336" w:lineRule="auto"/>
        <w:ind w:left="480" w:hanging="360"/>
      </w:pPr>
      <w:r>
        <w:rPr>
          <w:rFonts w:ascii="Times New Roman" w:hAnsi="Times New Roman" w:eastAsia="黑体" w:cs="Times New Roman"/>
          <w:b/>
          <w:color w:val="000000"/>
        </w:rPr>
        <w:t>份额不是折扣</w:t>
      </w:r>
      <w:r>
        <w:rPr>
          <w:rFonts w:ascii="Times New Roman" w:hAnsi="Times New Roman" w:eastAsia="宋体" w:cs="Times New Roman"/>
          <w:color w:val="000000"/>
        </w:rPr>
        <w:t>：</w:t>
      </w:r>
      <m:oMath>
        <m:r>
          <m:rPr/>
          <m:t>α</m:t>
        </m:r>
        <m:r>
          <m:rPr>
            <m:sty m:val="p"/>
          </m:rPr>
          <m:t>=</m:t>
        </m:r>
        <m:r>
          <m:rPr/>
          <m:t>10</m:t>
        </m:r>
        <m:r>
          <m:rPr>
            <m:sty m:val="p"/>
          </m:rPr>
          <m:t>%</m:t>
        </m:r>
      </m:oMath>
      <w:r>
        <w:rPr>
          <w:rFonts w:ascii="Times New Roman" w:hAnsi="Times New Roman" w:eastAsia="宋体" w:cs="Times New Roman"/>
          <w:color w:val="000000"/>
        </w:rPr>
        <w:t xml:space="preserve"> 的保费不是全额保费的九折，而是十分之一，因为它只承担十分之一的损失</w:t>
      </w:r>
    </w:p>
    <w:p w14:paraId="5B9B4F3B">
      <w:pPr>
        <w:pStyle w:val="16"/>
        <w:spacing w:after="40" w:line="336" w:lineRule="auto"/>
        <w:ind w:left="480" w:hanging="360"/>
      </w:pPr>
      <w:r>
        <w:rPr>
          <w:rFonts w:ascii="Times New Roman" w:hAnsi="Times New Roman" w:eastAsia="黑体" w:cs="Times New Roman"/>
          <w:b/>
          <w:color w:val="000000"/>
        </w:rPr>
        <w:t>触发频率不随份额变</w:t>
      </w:r>
      <w:r>
        <w:rPr>
          <w:rFonts w:ascii="Times New Roman" w:hAnsi="Times New Roman" w:eastAsia="宋体" w:cs="Times New Roman"/>
          <w:color w:val="000000"/>
        </w:rPr>
        <w:t>：分位层按份额缩放后重新取位，触发频率恒为 33.0%</w:t>
      </w:r>
    </w:p>
    <w:p w14:paraId="0245238D">
      <w:pPr>
        <w:pStyle w:val="16"/>
        <w:spacing w:after="40" w:line="336" w:lineRule="auto"/>
        <w:ind w:left="480" w:hanging="360"/>
      </w:pPr>
      <m:oMath>
        <m:r>
          <m:rPr/>
          <m:t>10</m:t>
        </m:r>
        <m:r>
          <m:rPr>
            <m:sty m:val="p"/>
          </m:rPr>
          <m:t>%</m:t>
        </m:r>
      </m:oMath>
      <w:r>
        <w:rPr>
          <w:rFonts w:ascii="Times New Roman" w:hAnsi="Times New Roman" w:eastAsia="宋体" w:cs="Times New Roman"/>
          <w:color w:val="000000"/>
        </w:rPr>
        <w:t xml:space="preserve"> 是主张不是最优：最优份额由投保人自身的风险承受能力决定</w:t>
      </w:r>
    </w:p>
    <w:p w14:paraId="43CA65B8">
      <w:pPr>
        <w:pStyle w:val="5"/>
        <w:ind w:firstLine="0"/>
        <w:jc w:val="left"/>
      </w:pPr>
      <w:bookmarkStart w:id="18" w:name="_Toc26384"/>
      <w:r>
        <w:rPr>
          <w:rFonts w:ascii="Times New Roman" w:hAnsi="Times New Roman" w:eastAsia="黑体" w:cs="Times New Roman"/>
          <w:b/>
          <w:color w:val="000000"/>
          <w:sz w:val="28"/>
        </w:rPr>
        <w:t>3.7 波动率的状态依赖（情景，非主口径）</w:t>
      </w:r>
      <w:bookmarkEnd w:id="18"/>
    </w:p>
    <w:p w14:paraId="0D574F71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 xml:space="preserve">引擎支持 </w:t>
      </w:r>
      <m:oMath>
        <m:sSub>
          <m:sSubPr/>
          <m:e>
            <m:r>
              <m:rPr/>
              <m:t>σ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(</m:t>
        </m:r>
        <m:r>
          <m:rPr/>
          <m:t>P</m:t>
        </m:r>
        <m:r>
          <m:rPr>
            <m:sty m:val="p"/>
          </m:rPr>
          <m:t>)=</m:t>
        </m:r>
        <m:sSub>
          <m:sSubPr/>
          <m:e>
            <m:r>
              <m:rPr/>
              <m:t>σ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⋅(</m:t>
        </m:r>
        <m:r>
          <m:rPr/>
          <m:t>P</m:t>
        </m:r>
        <m:r>
          <m:rPr>
            <m:sty m:val="p"/>
          </m:rPr>
          <m:t>/</m:t>
        </m:r>
        <m:sSub>
          <m:sSubPr/>
          <m:e>
            <m:r>
              <m:rPr/>
              <m:t>P</m:t>
            </m:r>
          </m:e>
          <m:sub>
            <m:r>
              <m:rPr/>
              <m:t>0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/>
              <m:t>θ</m:t>
            </m:r>
          </m:sup>
        </m:sSup>
      </m:oMath>
      <w:r>
        <w:rPr>
          <w:rFonts w:ascii="Times New Roman" w:hAnsi="Times New Roman" w:eastAsia="宋体" w:cs="Times New Roman"/>
          <w:color w:val="000000"/>
        </w:rPr>
        <w:t xml:space="preserve">：价格逼近政策天花板 ⇒ 上行空间被压缩 ⇒ 边际不确定性下降。实测 </w:t>
      </w:r>
      <m:oMath>
        <m:r>
          <m:rPr/>
          <m:t>θ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/</m:t>
        </m:r>
        <m:r>
          <m:rPr/>
          <m:t>0.3</m:t>
        </m:r>
        <m:r>
          <m:rPr>
            <m:sty m:val="p"/>
          </m:rPr>
          <m:t>/</m:t>
        </m:r>
        <m:r>
          <m:rPr/>
          <m:t>0.5</m:t>
        </m:r>
      </m:oMath>
      <w:r>
        <w:rPr>
          <w:rFonts w:ascii="Times New Roman" w:hAnsi="Times New Roman" w:eastAsia="宋体" w:cs="Times New Roman"/>
          <w:color w:val="000000"/>
        </w:rPr>
        <w:t xml:space="preserve"> 对应报价 0.510/0.475/0.447 元/吨。</w:t>
      </w:r>
    </w:p>
    <w:p w14:paraId="7B964FD0">
      <w:pPr>
        <w:spacing w:after="40" w:line="360" w:lineRule="auto"/>
        <w:ind w:firstLine="480"/>
      </w:pPr>
      <m:oMath>
        <m:r>
          <m:rPr/>
          <m:t>θ</m:t>
        </m:r>
      </m:oMath>
      <w:r>
        <w:rPr>
          <w:rFonts w:ascii="Times New Roman" w:hAnsi="Times New Roman" w:eastAsia="宋体" w:cs="Times New Roman"/>
          <w:color w:val="000000"/>
        </w:rPr>
        <w:t xml:space="preserve"> 无实证支撑，仅作情景，不作主口径。 主口径用 </w:t>
      </w:r>
      <m:oMath>
        <m:r>
          <m:rPr/>
          <m:t>θ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ascii="Times New Roman" w:hAnsi="Times New Roman" w:eastAsia="宋体" w:cs="Times New Roman"/>
          <w:color w:val="000000"/>
        </w:rPr>
        <w:t xml:space="preserve">。理由：把主口径建在无支撑的假设上，正是本文在 </w:t>
      </w:r>
      <m:oMath>
        <m:r>
          <m:rPr/>
          <m:t>g</m:t>
        </m:r>
      </m:oMath>
      <w:r>
        <w:rPr>
          <w:rFonts w:ascii="Times New Roman" w:hAnsi="Times New Roman" w:eastAsia="宋体" w:cs="Times New Roman"/>
          <w:color w:val="000000"/>
        </w:rPr>
        <w:t xml:space="preserve"> 模糊性上已经犯过的错。</w:t>
      </w:r>
    </w:p>
    <w:p w14:paraId="04A661AC">
      <w:pPr>
        <w:pBdr>
          <w:bottom w:val="single" w:color="000000" w:sz="6" w:space="1"/>
        </w:pBdr>
        <w:spacing w:before="40" w:after="120"/>
        <w:ind w:firstLine="0"/>
      </w:pPr>
    </w:p>
    <w:p w14:paraId="31B01300">
      <w:pPr>
        <w:pStyle w:val="4"/>
        <w:ind w:firstLine="0"/>
        <w:jc w:val="left"/>
      </w:pPr>
      <w:bookmarkStart w:id="19" w:name="_Toc20023"/>
      <w:r>
        <w:rPr>
          <w:rFonts w:ascii="Times New Roman" w:hAnsi="Times New Roman" w:eastAsia="黑体" w:cs="Times New Roman"/>
          <w:b/>
          <w:color w:val="000000"/>
          <w:sz w:val="32"/>
        </w:rPr>
        <w:t>四、条款设计</w:t>
      </w:r>
      <w:bookmarkEnd w:id="19"/>
    </w:p>
    <w:p w14:paraId="0C5C61F5">
      <w:pPr>
        <w:pStyle w:val="5"/>
        <w:ind w:firstLine="0"/>
        <w:jc w:val="left"/>
      </w:pPr>
      <w:bookmarkStart w:id="20" w:name="_Toc23549"/>
      <w:r>
        <w:rPr>
          <w:rFonts w:ascii="Times New Roman" w:hAnsi="Times New Roman" w:eastAsia="黑体" w:cs="Times New Roman"/>
          <w:b/>
          <w:color w:val="000000"/>
          <w:sz w:val="28"/>
        </w:rPr>
        <w:t>4.1 承保表</w:t>
      </w:r>
      <w:bookmarkEnd w:id="20"/>
    </w:p>
    <w:tbl>
      <w:tblPr>
        <w:tblStyle w:val="36"/>
        <w:tblW w:w="8278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4"/>
        <w:gridCol w:w="5854"/>
      </w:tblGrid>
      <w:tr w14:paraId="38E4210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24" w:type="dxa"/>
            <w:tcBorders>
              <w:bottom w:val="single" w:color="000000" w:sz="6" w:space="0"/>
            </w:tcBorders>
            <w:vAlign w:val="center"/>
          </w:tcPr>
          <w:p w14:paraId="44FD8B1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条款项</w:t>
            </w:r>
          </w:p>
        </w:tc>
        <w:tc>
          <w:tcPr>
            <w:tcW w:w="5854" w:type="dxa"/>
            <w:tcBorders>
              <w:bottom w:val="single" w:color="000000" w:sz="6" w:space="0"/>
            </w:tcBorders>
            <w:vAlign w:val="center"/>
          </w:tcPr>
          <w:p w14:paraId="7E1DCF7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约定</w:t>
            </w:r>
          </w:p>
        </w:tc>
      </w:tr>
      <w:tr w14:paraId="7092A3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7EB370FC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保险标的</w:t>
            </w:r>
          </w:p>
        </w:tc>
        <w:tc>
          <w:tcPr>
            <w:tcW w:w="5854" w:type="dxa"/>
            <w:vAlign w:val="center"/>
          </w:tcPr>
          <w:p w14:paraId="35946CD2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配额缺口履约成本的约定份额</w:t>
            </w:r>
          </w:p>
        </w:tc>
      </w:tr>
      <w:tr w14:paraId="2BDCA2F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2CA1351D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触发因子</w:t>
            </w:r>
          </w:p>
        </w:tc>
        <w:tc>
          <w:tcPr>
            <w:tcW w:w="5854" w:type="dxa"/>
            <w:vAlign w:val="center"/>
          </w:tcPr>
          <w:p w14:paraId="6EF50ACF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配额成交价 </w:t>
            </w:r>
            <m:oMath>
              <m:r>
                <m:rPr/>
                <m:t>P</m:t>
              </m:r>
            </m:oMath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 的日度超出额</w:t>
            </w:r>
          </w:p>
        </w:tc>
      </w:tr>
      <w:tr w14:paraId="0786D81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72403995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锚价 </w:t>
            </w:r>
            <m:oMath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0</m:t>
                  </m:r>
                </m:sub>
              </m:sSub>
            </m:oMath>
          </w:p>
        </w:tc>
        <w:tc>
          <w:tcPr>
            <w:tcW w:w="5854" w:type="dxa"/>
            <w:vAlign w:val="center"/>
          </w:tcPr>
          <w:p w14:paraId="6BC4A97B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保单起期日前一交易日收盘价，与投保日无关</w:t>
            </w:r>
          </w:p>
        </w:tc>
      </w:tr>
      <w:tr w14:paraId="2319D21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2471E45A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承保份额 </w:t>
            </w:r>
            <m:oMath>
              <m:r>
                <m:rPr/>
                <m:t>α</m:t>
              </m:r>
            </m:oMath>
          </w:p>
        </w:tc>
        <w:tc>
          <w:tcPr>
            <w:tcW w:w="5854" w:type="dxa"/>
            <w:vAlign w:val="center"/>
          </w:tcPr>
          <w:p w14:paraId="4DFC7AA5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10%（可选至 100%）</w:t>
            </w:r>
          </w:p>
        </w:tc>
      </w:tr>
      <w:tr w14:paraId="0CBC113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36F494D3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起赔倍数 </w:t>
            </w:r>
            <m:oMath>
              <m:r>
                <m:rPr/>
                <m:t>κ</m:t>
              </m:r>
            </m:oMath>
          </w:p>
        </w:tc>
        <w:tc>
          <w:tcPr>
            <w:tcW w:w="5854" w:type="dxa"/>
            <w:vAlign w:val="center"/>
          </w:tcPr>
          <w:p w14:paraId="1A1E06D6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1.30（合同期内固定）</w:t>
            </w:r>
          </w:p>
        </w:tc>
      </w:tr>
      <w:tr w14:paraId="4A0473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27EBBA8E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责任上限</w:t>
            </w:r>
          </w:p>
        </w:tc>
        <w:tc>
          <w:tcPr>
            <w:tcW w:w="5854" w:type="dxa"/>
            <w:vAlign w:val="center"/>
          </w:tcPr>
          <w:p w14:paraId="4F7C1CB7">
            <w:pPr>
              <w:spacing w:before="20" w:after="20" w:line="240" w:lineRule="auto"/>
              <w:ind w:firstLine="0"/>
            </w:pPr>
            <m:oMath>
              <m:r>
                <m:rPr/>
                <m:t>2</m:t>
              </m:r>
              <m:r>
                <m:rPr>
                  <m:sty m:val="p"/>
                </m:rPr>
                <m:t>×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0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（</w:t>
            </w: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比例式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，随当期价格水平）</w:t>
            </w:r>
          </w:p>
        </w:tc>
      </w:tr>
      <w:tr w14:paraId="150AF7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306D9F0E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触发次数上限</w:t>
            </w:r>
          </w:p>
        </w:tc>
        <w:tc>
          <w:tcPr>
            <w:tcW w:w="5854" w:type="dxa"/>
            <w:vAlign w:val="center"/>
          </w:tcPr>
          <w:p w14:paraId="21B03F7A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每年最多 5 次</w:t>
            </w:r>
          </w:p>
        </w:tc>
      </w:tr>
      <w:tr w14:paraId="54111B6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67D93902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年度层</w:t>
            </w:r>
          </w:p>
        </w:tc>
        <w:tc>
          <w:tcPr>
            <w:tcW w:w="5854" w:type="dxa"/>
            <w:vAlign w:val="center"/>
          </w:tcPr>
          <w:p w14:paraId="1DDF974D">
            <w:pPr>
              <w:spacing w:before="20" w:after="20" w:line="240" w:lineRule="auto"/>
              <w:ind w:firstLine="0"/>
            </w:pPr>
            <m:oMath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75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 / </w:t>
            </w:r>
            <m:oMath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99.5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（按份额缩放后重取）</w:t>
            </w:r>
          </w:p>
        </w:tc>
      </w:tr>
    </w:tbl>
    <w:p w14:paraId="063DA860">
      <w:pPr>
        <w:spacing w:after="120" w:line="240" w:lineRule="auto"/>
        <w:ind w:firstLine="0"/>
      </w:pPr>
      <w:r>
        <w:t xml:space="preserve"> </w:t>
      </w:r>
    </w:p>
    <w:p w14:paraId="2DE6BDFF">
      <w:pPr>
        <w:pStyle w:val="5"/>
        <w:ind w:firstLine="0"/>
        <w:jc w:val="left"/>
      </w:pPr>
      <w:bookmarkStart w:id="21" w:name="_Toc19431"/>
      <w:r>
        <w:rPr>
          <w:rFonts w:ascii="Times New Roman" w:hAnsi="Times New Roman" w:eastAsia="黑体" w:cs="Times New Roman"/>
          <w:b/>
          <w:color w:val="000000"/>
          <w:sz w:val="28"/>
        </w:rPr>
        <w:t>4.2 时效表</w:t>
      </w:r>
      <w:bookmarkEnd w:id="21"/>
    </w:p>
    <w:tbl>
      <w:tblPr>
        <w:tblStyle w:val="36"/>
        <w:tblW w:w="8278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3"/>
        <w:gridCol w:w="3228"/>
        <w:gridCol w:w="3167"/>
      </w:tblGrid>
      <w:tr w14:paraId="7466A6D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83" w:type="dxa"/>
            <w:tcBorders>
              <w:bottom w:val="single" w:color="000000" w:sz="6" w:space="0"/>
            </w:tcBorders>
            <w:vAlign w:val="center"/>
          </w:tcPr>
          <w:p w14:paraId="6DC6BCC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事项</w:t>
            </w:r>
          </w:p>
        </w:tc>
        <w:tc>
          <w:tcPr>
            <w:tcW w:w="3228" w:type="dxa"/>
            <w:tcBorders>
              <w:bottom w:val="single" w:color="000000" w:sz="6" w:space="0"/>
            </w:tcBorders>
            <w:vAlign w:val="center"/>
          </w:tcPr>
          <w:p w14:paraId="299485F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时点</w:t>
            </w:r>
          </w:p>
        </w:tc>
        <w:tc>
          <w:tcPr>
            <w:tcW w:w="3167" w:type="dxa"/>
            <w:tcBorders>
              <w:bottom w:val="single" w:color="000000" w:sz="6" w:space="0"/>
            </w:tcBorders>
            <w:vAlign w:val="center"/>
          </w:tcPr>
          <w:p w14:paraId="0A213B9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规则</w:t>
            </w:r>
          </w:p>
        </w:tc>
      </w:tr>
      <w:tr w14:paraId="562F85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3" w:type="dxa"/>
            <w:vAlign w:val="center"/>
          </w:tcPr>
          <w:p w14:paraId="5E1FF301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锚价锁定</w:t>
            </w:r>
          </w:p>
        </w:tc>
        <w:tc>
          <w:tcPr>
            <w:tcW w:w="3228" w:type="dxa"/>
            <w:vAlign w:val="center"/>
          </w:tcPr>
          <w:p w14:paraId="6E1814FA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保单起期日前一交易日</w:t>
            </w:r>
          </w:p>
        </w:tc>
        <w:tc>
          <w:tcPr>
            <w:tcW w:w="3167" w:type="dxa"/>
            <w:vAlign w:val="center"/>
          </w:tcPr>
          <w:p w14:paraId="4CCA42A7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公布后不可变更</w:t>
            </w:r>
          </w:p>
        </w:tc>
      </w:tr>
      <w:tr w14:paraId="2730D9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3" w:type="dxa"/>
            <w:vAlign w:val="center"/>
          </w:tcPr>
          <w:p w14:paraId="3028C1AC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等待期</w:t>
            </w:r>
          </w:p>
        </w:tc>
        <w:tc>
          <w:tcPr>
            <w:tcW w:w="3228" w:type="dxa"/>
            <w:vAlign w:val="center"/>
          </w:tcPr>
          <w:p w14:paraId="4BAB7EAD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保单年度内前 20 日</w:t>
            </w:r>
          </w:p>
        </w:tc>
        <w:tc>
          <w:tcPr>
            <w:tcW w:w="3167" w:type="dxa"/>
            <w:vAlign w:val="center"/>
          </w:tcPr>
          <w:p w14:paraId="71F15616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防止临期投保</w:t>
            </w:r>
          </w:p>
        </w:tc>
      </w:tr>
      <w:tr w14:paraId="6BC18E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3" w:type="dxa"/>
            <w:vAlign w:val="center"/>
          </w:tcPr>
          <w:p w14:paraId="74B8EE47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日度观察</w:t>
            </w:r>
          </w:p>
        </w:tc>
        <w:tc>
          <w:tcPr>
            <w:tcW w:w="3228" w:type="dxa"/>
            <w:vAlign w:val="center"/>
          </w:tcPr>
          <w:p w14:paraId="4C86F9C8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保单年度内每个交易日</w:t>
            </w:r>
          </w:p>
        </w:tc>
        <w:tc>
          <w:tcPr>
            <w:tcW w:w="3167" w:type="dxa"/>
            <w:vAlign w:val="center"/>
          </w:tcPr>
          <w:p w14:paraId="652D2235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自动计算，无需申报</w:t>
            </w:r>
          </w:p>
        </w:tc>
      </w:tr>
      <w:tr w14:paraId="5E30D95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3" w:type="dxa"/>
            <w:vAlign w:val="center"/>
          </w:tcPr>
          <w:p w14:paraId="259AE004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赔付确认与支付</w:t>
            </w:r>
          </w:p>
        </w:tc>
        <w:tc>
          <w:tcPr>
            <w:tcW w:w="3228" w:type="dxa"/>
            <w:vAlign w:val="center"/>
          </w:tcPr>
          <w:p w14:paraId="2ED05147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年度终了后 15 个交易日</w:t>
            </w:r>
          </w:p>
        </w:tc>
        <w:tc>
          <w:tcPr>
            <w:tcW w:w="3167" w:type="dxa"/>
            <w:vAlign w:val="center"/>
          </w:tcPr>
          <w:p w14:paraId="38081891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一次性确认支付</w:t>
            </w:r>
          </w:p>
        </w:tc>
      </w:tr>
      <w:tr w14:paraId="1B15049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3" w:type="dxa"/>
            <w:vAlign w:val="center"/>
          </w:tcPr>
          <w:p w14:paraId="208C1FE3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赔付申请期</w:t>
            </w:r>
          </w:p>
        </w:tc>
        <w:tc>
          <w:tcPr>
            <w:tcW w:w="3228" w:type="dxa"/>
            <w:vAlign w:val="center"/>
          </w:tcPr>
          <w:p w14:paraId="250C42B7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年度终了后 30 日内</w:t>
            </w:r>
          </w:p>
        </w:tc>
        <w:tc>
          <w:tcPr>
            <w:tcW w:w="3167" w:type="dxa"/>
            <w:vAlign w:val="center"/>
          </w:tcPr>
          <w:p w14:paraId="568D391A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逾期放弃（自动确认的除外）</w:t>
            </w:r>
          </w:p>
        </w:tc>
      </w:tr>
      <w:tr w14:paraId="4DF6DF8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3" w:type="dxa"/>
            <w:vAlign w:val="center"/>
          </w:tcPr>
          <w:p w14:paraId="6C09C5A3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续保窗口</w:t>
            </w:r>
          </w:p>
        </w:tc>
        <w:tc>
          <w:tcPr>
            <w:tcW w:w="3228" w:type="dxa"/>
            <w:vAlign w:val="center"/>
          </w:tcPr>
          <w:p w14:paraId="3732808D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年度终了前 60 日</w:t>
            </w:r>
          </w:p>
        </w:tc>
        <w:tc>
          <w:tcPr>
            <w:tcW w:w="3167" w:type="dxa"/>
            <w:vAlign w:val="center"/>
          </w:tcPr>
          <w:p w14:paraId="6DC7EFF8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未续保则保单终止</w:t>
            </w:r>
          </w:p>
        </w:tc>
      </w:tr>
    </w:tbl>
    <w:p w14:paraId="4F845656">
      <w:pPr>
        <w:spacing w:after="120" w:line="240" w:lineRule="auto"/>
        <w:ind w:firstLine="0"/>
      </w:pPr>
      <w:r>
        <w:t xml:space="preserve"> </w:t>
      </w:r>
    </w:p>
    <w:p w14:paraId="1648BB41">
      <w:pPr>
        <w:pStyle w:val="5"/>
        <w:ind w:firstLine="0"/>
        <w:jc w:val="left"/>
      </w:pPr>
      <w:bookmarkStart w:id="22" w:name="_Toc18342"/>
      <w:r>
        <w:rPr>
          <w:rFonts w:ascii="Times New Roman" w:hAnsi="Times New Roman" w:eastAsia="黑体" w:cs="Times New Roman"/>
          <w:b/>
          <w:color w:val="000000"/>
          <w:sz w:val="28"/>
        </w:rPr>
        <w:t>4.3 责任表与不赔项</w:t>
      </w:r>
      <w:bookmarkEnd w:id="22"/>
    </w:p>
    <w:tbl>
      <w:tblPr>
        <w:tblStyle w:val="36"/>
        <w:tblW w:w="8278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5358"/>
        <w:gridCol w:w="1460"/>
      </w:tblGrid>
      <w:tr w14:paraId="5650C4F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60" w:type="dxa"/>
            <w:tcBorders>
              <w:bottom w:val="single" w:color="000000" w:sz="6" w:space="0"/>
            </w:tcBorders>
            <w:vAlign w:val="center"/>
          </w:tcPr>
          <w:p w14:paraId="147470D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责任</w:t>
            </w:r>
          </w:p>
        </w:tc>
        <w:tc>
          <w:tcPr>
            <w:tcW w:w="5358" w:type="dxa"/>
            <w:tcBorders>
              <w:bottom w:val="single" w:color="000000" w:sz="6" w:space="0"/>
            </w:tcBorders>
            <w:vAlign w:val="center"/>
          </w:tcPr>
          <w:p w14:paraId="0FF6C32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赔付公式</w:t>
            </w:r>
          </w:p>
        </w:tc>
        <w:tc>
          <w:tcPr>
            <w:tcW w:w="1460" w:type="dxa"/>
            <w:tcBorders>
              <w:bottom w:val="single" w:color="000000" w:sz="6" w:space="0"/>
            </w:tcBorders>
            <w:vAlign w:val="center"/>
          </w:tcPr>
          <w:p w14:paraId="37B093C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限额</w:t>
            </w:r>
          </w:p>
        </w:tc>
      </w:tr>
      <w:tr w14:paraId="07716B8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0" w:type="dxa"/>
            <w:vAlign w:val="center"/>
          </w:tcPr>
          <w:p w14:paraId="3E45CC2D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履约成本价格责任</w:t>
            </w:r>
          </w:p>
        </w:tc>
        <w:tc>
          <w:tcPr>
            <w:tcW w:w="5358" w:type="dxa"/>
            <w:vAlign w:val="center"/>
          </w:tcPr>
          <w:p w14:paraId="07CFB370">
            <w:pPr>
              <w:spacing w:before="20" w:after="20" w:line="240" w:lineRule="auto"/>
              <w:ind w:firstLine="0"/>
            </w:pPr>
            <m:oMathPara>
              <m:oMath>
                <m:r>
                  <m:rPr/>
                  <m:t>α</m:t>
                </m:r>
                <m:r>
                  <m:rPr>
                    <m:sty m:val="p"/>
                  </m:rPr>
                  <m:t>⋅min{</m:t>
                </m:r>
                <m:nary>
                  <m:naryPr>
                    <m:chr m:val="∑"/>
                    <m:limLoc m:val="undOvr"/>
                    <m:supHide m:val="1"/>
                  </m:naryPr>
                  <m:sub>
                    <m:r>
                      <m:rPr/>
                      <m:t>d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script"/>
                      </m:rPr>
                      <m:t>D</m:t>
                    </m:r>
                  </m:sub>
                  <m:sup>
                    <m:r>
                      <m:rPr/>
                      <m:t>​</m:t>
                    </m:r>
                  </m:sup>
                  <m:e>
                    <m:r>
                      <m:rPr>
                        <m:sty m:val="p"/>
                      </m:rPr>
                      <m:t>max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/>
                  <m:t>κ</m:t>
                </m:r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/>
                  <m:t>0</m:t>
                </m:r>
                <m:r>
                  <m:rPr>
                    <m:sty m:val="p"/>
                  </m:rPr>
                  <m:t>),</m:t>
                </m:r>
                <m:r>
                  <m:rPr/>
                  <m:t> 2</m:t>
                </m:r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}⋅</m:t>
                </m:r>
                <m:r>
                  <m:rPr/>
                  <m:t>Q</m:t>
                </m:r>
              </m:oMath>
            </m:oMathPara>
          </w:p>
        </w:tc>
        <w:tc>
          <w:tcPr>
            <w:tcW w:w="1460" w:type="dxa"/>
            <w:vAlign w:val="center"/>
          </w:tcPr>
          <w:p w14:paraId="3AC9C783">
            <w:pPr>
              <w:spacing w:before="20" w:after="20" w:line="240" w:lineRule="auto"/>
              <w:ind w:firstLine="0"/>
            </w:pPr>
            <m:oMath>
              <m:r>
                <m:rPr/>
                <m:t>2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0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（比例式）</w:t>
            </w:r>
          </w:p>
        </w:tc>
      </w:tr>
    </w:tbl>
    <w:p w14:paraId="5756322E">
      <w:pPr>
        <w:spacing w:after="120" w:line="240" w:lineRule="auto"/>
        <w:ind w:firstLine="0"/>
      </w:pPr>
      <w:r>
        <w:t xml:space="preserve"> </w:t>
      </w:r>
    </w:p>
    <w:p w14:paraId="2E9A59B4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 xml:space="preserve">其中 </w:t>
      </w:r>
      <m:oMath>
        <m:r>
          <m:rPr>
            <m:sty m:val="p"/>
            <m:scr m:val="script"/>
          </m:rPr>
          <m:t>D</m:t>
        </m:r>
      </m:oMath>
      <w:r>
        <w:rPr>
          <w:rFonts w:ascii="Times New Roman" w:hAnsi="Times New Roman" w:eastAsia="宋体" w:cs="Times New Roman"/>
          <w:color w:val="000000"/>
        </w:rPr>
        <w:t xml:space="preserve"> 为触发日集合，</w:t>
      </w:r>
      <m:oMath>
        <m:r>
          <m:rPr>
            <m:sty m:val="p"/>
          </m:rPr>
          <m:t>|</m:t>
        </m:r>
        <m:r>
          <m:rPr>
            <m:sty m:val="p"/>
            <m:scr m:val="script"/>
          </m:rPr>
          <m:t>D</m:t>
        </m:r>
        <m:r>
          <m:rPr>
            <m:sty m:val="p"/>
          </m:rPr>
          <m:t>|≤</m:t>
        </m:r>
        <m:r>
          <m:rPr/>
          <m:t>5</m:t>
        </m:r>
      </m:oMath>
      <w:r>
        <w:rPr>
          <w:rFonts w:ascii="Times New Roman" w:hAnsi="Times New Roman" w:eastAsia="宋体" w:cs="Times New Roman"/>
          <w:color w:val="000000"/>
        </w:rPr>
        <w:t>。</w:t>
      </w:r>
    </w:p>
    <w:p w14:paraId="2E8B0183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不赔项（四条）</w:t>
      </w:r>
      <w:r>
        <w:rPr>
          <w:rFonts w:ascii="Times New Roman" w:hAnsi="Times New Roman" w:eastAsia="宋体" w:cs="Times New Roman"/>
          <w:color w:val="000000"/>
        </w:rPr>
        <w:t>：① 配额总量与分配方法的行政调整（含有偿比例变化、基准法切换）所致的追溯影响；② 排放核算方法与核查规则变更所致的数量修正；③ CCER 项目核证失败、注销或未能按期足额生成；④ 投保人未按期足额清缴所致的罚缴、信用降级与融资成本上升。</w:t>
      </w:r>
    </w:p>
    <w:p w14:paraId="6631F289">
      <w:pPr>
        <w:pStyle w:val="5"/>
        <w:ind w:firstLine="0"/>
        <w:jc w:val="left"/>
      </w:pPr>
      <w:bookmarkStart w:id="23" w:name="_Toc27749"/>
      <w:r>
        <w:rPr>
          <w:rFonts w:ascii="Times New Roman" w:hAnsi="Times New Roman" w:eastAsia="黑体" w:cs="Times New Roman"/>
          <w:b/>
          <w:color w:val="000000"/>
          <w:sz w:val="28"/>
        </w:rPr>
        <w:t>4.4 保费表</w:t>
      </w:r>
      <w:bookmarkEnd w:id="23"/>
    </w:p>
    <w:p w14:paraId="0BF885C8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 xml:space="preserve">12 个 </w:t>
      </w:r>
      <m:oMath>
        <m:r>
          <m:rPr>
            <m:sty m:val="p"/>
          </m:rPr>
          <m:t>(</m:t>
        </m:r>
        <m:sSub>
          <m:sSubPr/>
          <m:e>
            <m:r>
              <m:rPr/>
              <m:t>σ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σ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 w:cs="Times New Roman"/>
          <w:color w:val="000000"/>
        </w:rPr>
        <w:t xml:space="preserve"> 档位费率 </w:t>
      </w:r>
      <w:r>
        <w:rPr>
          <w:rFonts w:ascii="Times New Roman" w:hAnsi="Times New Roman" w:eastAsia="黑体" w:cs="Times New Roman"/>
          <w:b/>
          <w:color w:val="000000"/>
        </w:rPr>
        <w:t>0.15% – 0.34%</w:t>
      </w:r>
      <w:r>
        <w:rPr>
          <w:rFonts w:ascii="Times New Roman" w:hAnsi="Times New Roman" w:eastAsia="宋体" w:cs="Times New Roman"/>
          <w:color w:val="000000"/>
        </w:rPr>
        <w:t>，全部低于判据。</w:t>
      </w:r>
      <m:oMath>
        <m:sSub>
          <m:sSubPr/>
          <m:e>
            <m:r>
              <m:rPr/>
              <m:t>σ</m:t>
            </m:r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eastAsia="宋体" w:cs="Times New Roman"/>
          <w:color w:val="000000"/>
        </w:rPr>
        <w:t xml:space="preserve"> 单调性由断言 Q10 锁定；</w:t>
      </w:r>
      <m:oMath>
        <m:sSub>
          <m:sSubPr/>
          <m:e>
            <m:r>
              <m:rPr/>
              <m:t>σ</m:t>
            </m:r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eastAsia="宋体" w:cs="Times New Roman"/>
          <w:color w:val="000000"/>
        </w:rPr>
        <w:t xml:space="preserve"> 由 0.185 升至 0.36 时费率由 0.15% 升至 0.32%。</w:t>
      </w:r>
    </w:p>
    <w:p w14:paraId="2679DE29">
      <w:pPr>
        <w:pBdr>
          <w:bottom w:val="single" w:color="000000" w:sz="6" w:space="1"/>
        </w:pBdr>
        <w:spacing w:before="40" w:after="120"/>
        <w:ind w:firstLine="0"/>
      </w:pPr>
    </w:p>
    <w:p w14:paraId="5FD1B3EB">
      <w:pPr>
        <w:pStyle w:val="4"/>
        <w:ind w:firstLine="0"/>
        <w:jc w:val="left"/>
      </w:pPr>
      <w:bookmarkStart w:id="24" w:name="_Toc1763"/>
      <w:r>
        <w:rPr>
          <w:rFonts w:ascii="Times New Roman" w:hAnsi="Times New Roman" w:eastAsia="黑体" w:cs="Times New Roman"/>
          <w:b/>
          <w:color w:val="000000"/>
          <w:sz w:val="32"/>
        </w:rPr>
        <w:t>五、条款更新</w:t>
      </w:r>
      <w:bookmarkEnd w:id="24"/>
    </w:p>
    <w:p w14:paraId="23E1A973">
      <w:pPr>
        <w:pStyle w:val="5"/>
        <w:ind w:firstLine="0"/>
        <w:jc w:val="left"/>
      </w:pPr>
      <w:bookmarkStart w:id="25" w:name="_Toc27434"/>
      <w:r>
        <w:rPr>
          <w:rFonts w:ascii="Times New Roman" w:hAnsi="Times New Roman" w:eastAsia="黑体" w:cs="Times New Roman"/>
          <w:b/>
          <w:color w:val="000000"/>
          <w:sz w:val="28"/>
        </w:rPr>
        <w:t>5.1 更新对象与时点</w:t>
      </w:r>
      <w:bookmarkEnd w:id="25"/>
    </w:p>
    <w:tbl>
      <w:tblPr>
        <w:tblStyle w:val="36"/>
        <w:tblW w:w="8278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1875"/>
        <w:gridCol w:w="2844"/>
        <w:gridCol w:w="1986"/>
      </w:tblGrid>
      <w:tr w14:paraId="5F48096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73" w:type="dxa"/>
            <w:tcBorders>
              <w:bottom w:val="single" w:color="000000" w:sz="6" w:space="0"/>
            </w:tcBorders>
            <w:vAlign w:val="center"/>
          </w:tcPr>
          <w:p w14:paraId="4705596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更新项</w:t>
            </w:r>
          </w:p>
        </w:tc>
        <w:tc>
          <w:tcPr>
            <w:tcW w:w="1875" w:type="dxa"/>
            <w:tcBorders>
              <w:bottom w:val="single" w:color="000000" w:sz="6" w:space="0"/>
            </w:tcBorders>
            <w:vAlign w:val="center"/>
          </w:tcPr>
          <w:p w14:paraId="0B36C26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现行值</w:t>
            </w:r>
          </w:p>
        </w:tc>
        <w:tc>
          <w:tcPr>
            <w:tcW w:w="2844" w:type="dxa"/>
            <w:tcBorders>
              <w:bottom w:val="single" w:color="000000" w:sz="6" w:space="0"/>
            </w:tcBorders>
            <w:vAlign w:val="center"/>
          </w:tcPr>
          <w:p w14:paraId="094CD05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更新后</w:t>
            </w:r>
          </w:p>
        </w:tc>
        <w:tc>
          <w:tcPr>
            <w:tcW w:w="1986" w:type="dxa"/>
            <w:tcBorders>
              <w:bottom w:val="single" w:color="000000" w:sz="6" w:space="0"/>
            </w:tcBorders>
            <w:vAlign w:val="center"/>
          </w:tcPr>
          <w:p w14:paraId="56D8D25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依据</w:t>
            </w:r>
          </w:p>
        </w:tc>
      </w:tr>
      <w:tr w14:paraId="6AF8AB7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vAlign w:val="center"/>
          </w:tcPr>
          <w:p w14:paraId="48B96270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锚价 </w:t>
            </w:r>
            <m:oMath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0</m:t>
                  </m:r>
                </m:sub>
              </m:sSub>
            </m:oMath>
          </w:p>
        </w:tc>
        <w:tc>
          <w:tcPr>
            <w:tcW w:w="1875" w:type="dxa"/>
            <w:vAlign w:val="center"/>
          </w:tcPr>
          <w:p w14:paraId="3606C228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97.90</w:t>
            </w:r>
          </w:p>
        </w:tc>
        <w:tc>
          <w:tcPr>
            <w:tcW w:w="2844" w:type="dxa"/>
            <w:vAlign w:val="center"/>
          </w:tcPr>
          <w:p w14:paraId="7D970040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新保单年度起期日前一交易日收盘价</w:t>
            </w:r>
          </w:p>
        </w:tc>
        <w:tc>
          <w:tcPr>
            <w:tcW w:w="1986" w:type="dxa"/>
            <w:vAlign w:val="center"/>
          </w:tcPr>
          <w:p w14:paraId="5B8C8BF4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年度重定价</w:t>
            </w:r>
          </w:p>
        </w:tc>
      </w:tr>
      <w:tr w14:paraId="0E01545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vAlign w:val="center"/>
          </w:tcPr>
          <w:p w14:paraId="586297E3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起赔基准</w:t>
            </w:r>
          </w:p>
        </w:tc>
        <w:tc>
          <w:tcPr>
            <w:tcW w:w="1875" w:type="dxa"/>
            <w:vAlign w:val="center"/>
          </w:tcPr>
          <w:p w14:paraId="7E0FC9C0">
            <w:pPr>
              <w:spacing w:before="20" w:after="20" w:line="240" w:lineRule="auto"/>
              <w:ind w:firstLine="0"/>
            </w:pPr>
            <m:oMathPara>
              <m:oMath>
                <m:r>
                  <m:rPr/>
                  <m:t>1.30</m:t>
                </m:r>
                <m:r>
                  <m:rPr>
                    <m:sty m:val="p"/>
                  </m:rPr>
                  <m:t>×</m:t>
                </m:r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0</m:t>
                    </m:r>
                  </m:sub>
                </m:sSub>
              </m:oMath>
            </m:oMathPara>
          </w:p>
        </w:tc>
        <w:tc>
          <w:tcPr>
            <w:tcW w:w="2844" w:type="dxa"/>
            <w:vAlign w:val="center"/>
          </w:tcPr>
          <w:p w14:paraId="64C35AEE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同式，</w:t>
            </w: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倍数不变</w:t>
            </w:r>
          </w:p>
        </w:tc>
        <w:tc>
          <w:tcPr>
            <w:tcW w:w="1986" w:type="dxa"/>
            <w:vAlign w:val="center"/>
          </w:tcPr>
          <w:p w14:paraId="73A2C4D5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年度重定价</w:t>
            </w:r>
          </w:p>
        </w:tc>
      </w:tr>
      <w:tr w14:paraId="0D37342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vAlign w:val="center"/>
          </w:tcPr>
          <w:p w14:paraId="61C2855D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责任上限</w:t>
            </w:r>
          </w:p>
        </w:tc>
        <w:tc>
          <w:tcPr>
            <w:tcW w:w="1875" w:type="dxa"/>
            <w:vAlign w:val="center"/>
          </w:tcPr>
          <w:p w14:paraId="0F22D2B6">
            <w:pPr>
              <w:spacing w:before="20" w:after="20" w:line="240" w:lineRule="auto"/>
              <w:ind w:firstLine="0"/>
            </w:pPr>
            <m:oMathPara>
              <m:oMath>
                <m:r>
                  <m:rPr/>
                  <m:t>2</m:t>
                </m:r>
                <m:r>
                  <m:rPr>
                    <m:sty m:val="p"/>
                  </m:rPr>
                  <m:t>×</m:t>
                </m:r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0</m:t>
                    </m:r>
                  </m:sub>
                </m:sSub>
              </m:oMath>
            </m:oMathPara>
          </w:p>
        </w:tc>
        <w:tc>
          <w:tcPr>
            <w:tcW w:w="2844" w:type="dxa"/>
            <w:vAlign w:val="center"/>
          </w:tcPr>
          <w:p w14:paraId="6D599DF7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随新锚价同步</w:t>
            </w:r>
          </w:p>
        </w:tc>
        <w:tc>
          <w:tcPr>
            <w:tcW w:w="1986" w:type="dxa"/>
            <w:vAlign w:val="center"/>
          </w:tcPr>
          <w:p w14:paraId="6D579CE9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年度重定价</w:t>
            </w:r>
          </w:p>
        </w:tc>
      </w:tr>
      <w:tr w14:paraId="5D0108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vAlign w:val="center"/>
          </w:tcPr>
          <w:p w14:paraId="2F5B7999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层参数 </w:t>
            </w:r>
            <m:oMath>
              <m:r>
                <m:rPr/>
                <m:t>D</m:t>
              </m:r>
            </m:oMath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/</w:t>
            </w:r>
            <m:oMath>
              <m:r>
                <m:rPr/>
                <m:t>A</m:t>
              </m:r>
            </m:oMath>
          </w:p>
        </w:tc>
        <w:tc>
          <w:tcPr>
            <w:tcW w:w="1875" w:type="dxa"/>
            <w:vAlign w:val="center"/>
          </w:tcPr>
          <w:p w14:paraId="1E5CE489">
            <w:pPr>
              <w:spacing w:before="20" w:after="20" w:line="240" w:lineRule="auto"/>
              <w:ind w:firstLine="0"/>
            </w:pPr>
            <m:oMathPara>
              <m:oMath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75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99.5</m:t>
                    </m:r>
                  </m:sub>
                </m:sSub>
              </m:oMath>
            </m:oMathPara>
          </w:p>
        </w:tc>
        <w:tc>
          <w:tcPr>
            <w:tcW w:w="2844" w:type="dxa"/>
            <w:vAlign w:val="center"/>
          </w:tcPr>
          <w:p w14:paraId="7B2E42BB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按新 </w:t>
            </w:r>
            <m:oMath>
              <m:r>
                <m:rPr/>
                <m:t>σ</m:t>
              </m:r>
            </m:oMath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 重取</w:t>
            </w:r>
          </w:p>
        </w:tc>
        <w:tc>
          <w:tcPr>
            <w:tcW w:w="1986" w:type="dxa"/>
            <w:vAlign w:val="center"/>
          </w:tcPr>
          <w:p w14:paraId="362CF5C6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年度重定价</w:t>
            </w:r>
          </w:p>
        </w:tc>
      </w:tr>
      <w:tr w14:paraId="0C45127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vAlign w:val="center"/>
          </w:tcPr>
          <w:p w14:paraId="376C0000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份额 </w:t>
            </w:r>
            <m:oMath>
              <m:r>
                <m:rPr/>
                <m:t>α</m:t>
              </m:r>
            </m:oMath>
          </w:p>
        </w:tc>
        <w:tc>
          <w:tcPr>
            <w:tcW w:w="1875" w:type="dxa"/>
            <w:vAlign w:val="center"/>
          </w:tcPr>
          <w:p w14:paraId="442F3416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10%</w:t>
            </w:r>
          </w:p>
        </w:tc>
        <w:tc>
          <w:tcPr>
            <w:tcW w:w="2844" w:type="dxa"/>
            <w:vAlign w:val="center"/>
          </w:tcPr>
          <w:p w14:paraId="5120617A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可谈判</w:t>
            </w:r>
          </w:p>
        </w:tc>
        <w:tc>
          <w:tcPr>
            <w:tcW w:w="1986" w:type="dxa"/>
            <w:vAlign w:val="center"/>
          </w:tcPr>
          <w:p w14:paraId="4E67553A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续保时</w:t>
            </w:r>
          </w:p>
        </w:tc>
      </w:tr>
      <w:tr w14:paraId="3A9A357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vAlign w:val="center"/>
          </w:tcPr>
          <w:p w14:paraId="43A05FAE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费率</w:t>
            </w:r>
          </w:p>
        </w:tc>
        <w:tc>
          <w:tcPr>
            <w:tcW w:w="1875" w:type="dxa"/>
            <w:vAlign w:val="center"/>
          </w:tcPr>
          <w:p w14:paraId="0CD796C7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0.51 元/吨</w:t>
            </w:r>
          </w:p>
        </w:tc>
        <w:tc>
          <w:tcPr>
            <w:tcW w:w="2844" w:type="dxa"/>
            <w:vAlign w:val="center"/>
          </w:tcPr>
          <w:p w14:paraId="595BC697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年度重定价</w:t>
            </w:r>
          </w:p>
        </w:tc>
        <w:tc>
          <w:tcPr>
            <w:tcW w:w="1986" w:type="dxa"/>
            <w:vAlign w:val="center"/>
          </w:tcPr>
          <w:p w14:paraId="5266FC80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资本成本 + 经验赔付</w:t>
            </w:r>
          </w:p>
        </w:tc>
      </w:tr>
    </w:tbl>
    <w:p w14:paraId="472C365F">
      <w:pPr>
        <w:spacing w:after="120" w:line="240" w:lineRule="auto"/>
        <w:ind w:firstLine="0"/>
      </w:pPr>
      <w:r>
        <w:t xml:space="preserve"> </w:t>
      </w:r>
    </w:p>
    <w:p w14:paraId="75769C65">
      <w:pPr>
        <w:pStyle w:val="5"/>
        <w:ind w:firstLine="0"/>
        <w:jc w:val="left"/>
      </w:pPr>
      <w:bookmarkStart w:id="26" w:name="_Toc31044"/>
      <w:r>
        <w:rPr>
          <w:rFonts w:ascii="Times New Roman" w:hAnsi="Times New Roman" w:eastAsia="黑体" w:cs="Times New Roman"/>
          <w:b/>
          <w:color w:val="000000"/>
          <w:sz w:val="28"/>
        </w:rPr>
        <w:t>5.2 经验赔付回校</w:t>
      </w:r>
      <w:bookmarkEnd w:id="26"/>
    </w:p>
    <w:p w14:paraId="11FA0B89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 xml:space="preserve">首次续保时以实际赔付数据回校 </w:t>
      </w:r>
      <m:oMath>
        <m:sSub>
          <m:sSubPr/>
          <m:e>
            <m:r>
              <m:rPr/>
              <m:t>σ</m:t>
            </m:r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eastAsia="宋体" w:cs="Times New Roman"/>
          <w:color w:val="000000"/>
        </w:rPr>
        <w:t xml:space="preserve"> 与 </w:t>
      </w:r>
      <m:oMath>
        <m:r>
          <m:rPr/>
          <m:t>ρ</m:t>
        </m:r>
        <m:r>
          <m:rPr>
            <m:sty m:val="p"/>
          </m:rPr>
          <m:t>(</m:t>
        </m:r>
        <m:r>
          <m:rPr/>
          <m:t>P</m:t>
        </m:r>
        <m:r>
          <m:rPr>
            <m:sty m:val="p"/>
          </m:rPr>
          <m:t>,</m:t>
        </m:r>
        <m:r>
          <m:rPr/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宋体" w:cs="Times New Roman"/>
          <w:color w:val="000000"/>
        </w:rPr>
        <w:t>。这是本产品从"假设驱动"转为"经验驱动"的唯一路径。</w:t>
      </w:r>
    </w:p>
    <w:p w14:paraId="39FB217D">
      <w:pPr>
        <w:pStyle w:val="5"/>
        <w:ind w:firstLine="0"/>
        <w:jc w:val="left"/>
      </w:pPr>
      <w:bookmarkStart w:id="27" w:name="_Toc23443"/>
      <w:r>
        <w:rPr>
          <w:rFonts w:ascii="Times New Roman" w:hAnsi="Times New Roman" w:eastAsia="黑体" w:cs="Times New Roman"/>
          <w:b/>
          <w:color w:val="000000"/>
          <w:sz w:val="28"/>
        </w:rPr>
        <w:t>5.3 一项须披露的机制性削弱</w:t>
      </w:r>
      <w:bookmarkEnd w:id="27"/>
    </w:p>
    <w:p w14:paraId="42493B36">
      <w:pPr>
        <w:spacing w:after="40" w:line="360" w:lineRule="auto"/>
        <w:ind w:firstLine="480"/>
      </w:pPr>
      <m:oMath>
        <m:r>
          <m:rPr/>
          <m:t>D</m:t>
        </m:r>
      </m:oMath>
      <w:r>
        <w:rPr>
          <w:rFonts w:ascii="Times New Roman" w:hAnsi="Times New Roman" w:eastAsia="宋体" w:cs="Times New Roman"/>
          <w:color w:val="000000"/>
        </w:rPr>
        <w:t xml:space="preserve"> 与 </w:t>
      </w:r>
      <m:oMath>
        <m:r>
          <m:rPr/>
          <m:t>A</m:t>
        </m:r>
      </m:oMath>
      <w:r>
        <w:rPr>
          <w:rFonts w:ascii="Times New Roman" w:hAnsi="Times New Roman" w:eastAsia="宋体" w:cs="Times New Roman"/>
          <w:color w:val="000000"/>
        </w:rPr>
        <w:t xml:space="preserve"> 按指数分位自动重取，在指数水平长期上行时绝对免赔与限额同步抬高，</w:t>
      </w:r>
      <w:r>
        <w:rPr>
          <w:rFonts w:ascii="Times New Roman" w:hAnsi="Times New Roman" w:eastAsia="黑体" w:cs="Times New Roman"/>
          <w:b/>
          <w:color w:val="000000"/>
        </w:rPr>
        <w:t>保障相对初始水平被削弱</w:t>
      </w:r>
      <w:r>
        <w:rPr>
          <w:rFonts w:ascii="Times New Roman" w:hAnsi="Times New Roman" w:eastAsia="宋体" w:cs="Times New Roman"/>
          <w:color w:val="000000"/>
        </w:rPr>
        <w:t>。这不是缺陷而是分位层的必然，但须明示。本合同不设因该机制导致的解除权。</w:t>
      </w:r>
    </w:p>
    <w:p w14:paraId="42CF9F0B">
      <w:pPr>
        <w:pBdr>
          <w:bottom w:val="single" w:color="000000" w:sz="6" w:space="1"/>
        </w:pBdr>
        <w:spacing w:before="40" w:after="120"/>
        <w:ind w:firstLine="0"/>
      </w:pPr>
    </w:p>
    <w:p w14:paraId="378065FE">
      <w:pPr>
        <w:pStyle w:val="4"/>
        <w:ind w:firstLine="0"/>
        <w:jc w:val="left"/>
      </w:pPr>
      <w:bookmarkStart w:id="28" w:name="_Toc5756"/>
      <w:r>
        <w:rPr>
          <w:rFonts w:ascii="Times New Roman" w:hAnsi="Times New Roman" w:eastAsia="黑体" w:cs="Times New Roman"/>
          <w:b/>
          <w:color w:val="000000"/>
          <w:sz w:val="32"/>
        </w:rPr>
        <w:t>六、保障深度、可缔约性与局限</w:t>
      </w:r>
      <w:bookmarkEnd w:id="28"/>
    </w:p>
    <w:p w14:paraId="6E84B4C3">
      <w:pPr>
        <w:pStyle w:val="5"/>
        <w:ind w:firstLine="0"/>
        <w:jc w:val="left"/>
      </w:pPr>
      <w:bookmarkStart w:id="29" w:name="_Toc26931"/>
      <w:r>
        <w:rPr>
          <w:rFonts w:ascii="Times New Roman" w:hAnsi="Times New Roman" w:eastAsia="黑体" w:cs="Times New Roman"/>
          <w:b/>
          <w:color w:val="000000"/>
          <w:sz w:val="28"/>
        </w:rPr>
        <w:t>6.1 保障深度：分位层在低频高损情形失效（须优先披露）</w:t>
      </w:r>
      <w:bookmarkEnd w:id="29"/>
    </w:p>
    <w:p w14:paraId="042DD873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>压力测试（全额承保，碳价年中跳涨后在新中枢波动）：金额单位均为</w:t>
      </w:r>
      <w:r>
        <w:rPr>
          <w:rFonts w:ascii="Times New Roman" w:hAnsi="Times New Roman" w:eastAsia="黑体" w:cs="Times New Roman"/>
          <w:b/>
          <w:color w:val="000000"/>
        </w:rPr>
        <w:t>元/吨配额、日均口径</w:t>
      </w:r>
      <w:r>
        <w:rPr>
          <w:rFonts w:ascii="Times New Roman" w:hAnsi="Times New Roman" w:eastAsia="宋体" w:cs="Times New Roman"/>
          <w:color w:val="000000"/>
        </w:rPr>
        <w:t>；"分位覆盖"与"绝对免赔覆盖"均为覆盖率。</w:t>
      </w:r>
    </w:p>
    <w:tbl>
      <w:tblPr>
        <w:tblStyle w:val="36"/>
        <w:tblW w:w="8278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050"/>
        <w:gridCol w:w="1000"/>
        <w:gridCol w:w="1161"/>
        <w:gridCol w:w="1129"/>
        <w:gridCol w:w="1296"/>
        <w:gridCol w:w="1422"/>
      </w:tblGrid>
      <w:tr w14:paraId="0C8CE75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20" w:type="dxa"/>
            <w:tcBorders>
              <w:bottom w:val="single" w:color="000000" w:sz="6" w:space="0"/>
            </w:tcBorders>
            <w:vAlign w:val="center"/>
          </w:tcPr>
          <w:p w14:paraId="074AAEF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情景</w:t>
            </w:r>
          </w:p>
        </w:tc>
        <w:tc>
          <w:tcPr>
            <w:tcW w:w="1050" w:type="dxa"/>
            <w:tcBorders>
              <w:bottom w:val="single" w:color="000000" w:sz="6" w:space="0"/>
            </w:tcBorders>
            <w:vAlign w:val="center"/>
          </w:tcPr>
          <w:p w14:paraId="2B2ECA2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年内高位</w:t>
            </w:r>
          </w:p>
        </w:tc>
        <w:tc>
          <w:tcPr>
            <w:tcW w:w="1000" w:type="dxa"/>
            <w:tcBorders>
              <w:bottom w:val="single" w:color="000000" w:sz="6" w:space="0"/>
            </w:tcBorders>
            <w:vAlign w:val="center"/>
          </w:tcPr>
          <w:p w14:paraId="5E8E500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增量成本</w:t>
            </w:r>
          </w:p>
        </w:tc>
        <w:tc>
          <w:tcPr>
            <w:tcW w:w="1161" w:type="dxa"/>
            <w:tcBorders>
              <w:bottom w:val="single" w:color="000000" w:sz="6" w:space="0"/>
            </w:tcBorders>
            <w:vAlign w:val="center"/>
          </w:tcPr>
          <w:p w14:paraId="2A22B76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分位层赔付</w:t>
            </w:r>
          </w:p>
        </w:tc>
        <w:tc>
          <w:tcPr>
            <w:tcW w:w="1129" w:type="dxa"/>
            <w:tcBorders>
              <w:bottom w:val="single" w:color="000000" w:sz="6" w:space="0"/>
            </w:tcBorders>
            <w:vAlign w:val="center"/>
          </w:tcPr>
          <w:p w14:paraId="34D5F27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分位覆盖</w:t>
            </w:r>
          </w:p>
        </w:tc>
        <w:tc>
          <w:tcPr>
            <w:tcW w:w="1296" w:type="dxa"/>
            <w:tcBorders>
              <w:bottom w:val="single" w:color="000000" w:sz="6" w:space="0"/>
            </w:tcBorders>
            <w:vAlign w:val="center"/>
          </w:tcPr>
          <w:p w14:paraId="3895F96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绝对免赔覆盖</w:t>
            </w:r>
          </w:p>
        </w:tc>
        <w:tc>
          <w:tcPr>
            <w:tcW w:w="1422" w:type="dxa"/>
            <w:tcBorders>
              <w:bottom w:val="single" w:color="000000" w:sz="6" w:space="0"/>
            </w:tcBorders>
            <w:vAlign w:val="center"/>
          </w:tcPr>
          <w:p w14:paraId="5A26109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触及 CAP 频率</w:t>
            </w:r>
          </w:p>
        </w:tc>
      </w:tr>
      <w:tr w14:paraId="58D866D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0" w:type="dxa"/>
            <w:vAlign w:val="center"/>
          </w:tcPr>
          <w:p w14:paraId="1952C89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碳价 +50%</w:t>
            </w:r>
          </w:p>
        </w:tc>
        <w:tc>
          <w:tcPr>
            <w:tcW w:w="1050" w:type="dxa"/>
            <w:vAlign w:val="center"/>
          </w:tcPr>
          <w:p w14:paraId="1C8B749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146.85</w:t>
            </w:r>
          </w:p>
        </w:tc>
        <w:tc>
          <w:tcPr>
            <w:tcW w:w="1000" w:type="dxa"/>
            <w:vAlign w:val="center"/>
          </w:tcPr>
          <w:p w14:paraId="2B168DB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49.48</w:t>
            </w:r>
          </w:p>
        </w:tc>
        <w:tc>
          <w:tcPr>
            <w:tcW w:w="1161" w:type="dxa"/>
            <w:vAlign w:val="center"/>
          </w:tcPr>
          <w:p w14:paraId="34E6F99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0.000</w:t>
            </w:r>
          </w:p>
        </w:tc>
        <w:tc>
          <w:tcPr>
            <w:tcW w:w="1129" w:type="dxa"/>
            <w:vAlign w:val="center"/>
          </w:tcPr>
          <w:p w14:paraId="53833F1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0.0%</w:t>
            </w:r>
          </w:p>
        </w:tc>
        <w:tc>
          <w:tcPr>
            <w:tcW w:w="1296" w:type="dxa"/>
            <w:vAlign w:val="center"/>
          </w:tcPr>
          <w:p w14:paraId="7F21939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1.6%</w:t>
            </w:r>
          </w:p>
        </w:tc>
        <w:tc>
          <w:tcPr>
            <w:tcW w:w="1422" w:type="dxa"/>
            <w:vAlign w:val="center"/>
          </w:tcPr>
          <w:p w14:paraId="34759A9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98.5%</w:t>
            </w:r>
          </w:p>
        </w:tc>
      </w:tr>
      <w:tr w14:paraId="397FA26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0" w:type="dxa"/>
            <w:vAlign w:val="center"/>
          </w:tcPr>
          <w:p w14:paraId="0B6B00C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碳价 +100%</w:t>
            </w:r>
          </w:p>
        </w:tc>
        <w:tc>
          <w:tcPr>
            <w:tcW w:w="1050" w:type="dxa"/>
            <w:vAlign w:val="center"/>
          </w:tcPr>
          <w:p w14:paraId="7CFB3DB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195.80</w:t>
            </w:r>
          </w:p>
        </w:tc>
        <w:tc>
          <w:tcPr>
            <w:tcW w:w="1000" w:type="dxa"/>
            <w:vAlign w:val="center"/>
          </w:tcPr>
          <w:p w14:paraId="4838263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98.86</w:t>
            </w:r>
          </w:p>
        </w:tc>
        <w:tc>
          <w:tcPr>
            <w:tcW w:w="1161" w:type="dxa"/>
            <w:vAlign w:val="center"/>
          </w:tcPr>
          <w:p w14:paraId="0CD5C89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0.000</w:t>
            </w:r>
          </w:p>
        </w:tc>
        <w:tc>
          <w:tcPr>
            <w:tcW w:w="1129" w:type="dxa"/>
            <w:vAlign w:val="center"/>
          </w:tcPr>
          <w:p w14:paraId="4FCE433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0.0%</w:t>
            </w:r>
          </w:p>
        </w:tc>
        <w:tc>
          <w:tcPr>
            <w:tcW w:w="1296" w:type="dxa"/>
            <w:vAlign w:val="center"/>
          </w:tcPr>
          <w:p w14:paraId="2316785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0.8%</w:t>
            </w:r>
          </w:p>
        </w:tc>
        <w:tc>
          <w:tcPr>
            <w:tcW w:w="1422" w:type="dxa"/>
            <w:vAlign w:val="center"/>
          </w:tcPr>
          <w:p w14:paraId="0176F70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100.0%</w:t>
            </w:r>
          </w:p>
        </w:tc>
      </w:tr>
      <w:tr w14:paraId="344A89C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0" w:type="dxa"/>
            <w:vAlign w:val="center"/>
          </w:tcPr>
          <w:p w14:paraId="55B24B5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碳价 +300%</w:t>
            </w:r>
          </w:p>
        </w:tc>
        <w:tc>
          <w:tcPr>
            <w:tcW w:w="1050" w:type="dxa"/>
            <w:vAlign w:val="center"/>
          </w:tcPr>
          <w:p w14:paraId="23E11AD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391.60</w:t>
            </w:r>
          </w:p>
        </w:tc>
        <w:tc>
          <w:tcPr>
            <w:tcW w:w="1000" w:type="dxa"/>
            <w:vAlign w:val="center"/>
          </w:tcPr>
          <w:p w14:paraId="6164B8A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296.75</w:t>
            </w:r>
          </w:p>
        </w:tc>
        <w:tc>
          <w:tcPr>
            <w:tcW w:w="1161" w:type="dxa"/>
            <w:vAlign w:val="center"/>
          </w:tcPr>
          <w:p w14:paraId="7B4DDAA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0.000</w:t>
            </w:r>
          </w:p>
        </w:tc>
        <w:tc>
          <w:tcPr>
            <w:tcW w:w="1129" w:type="dxa"/>
            <w:vAlign w:val="center"/>
          </w:tcPr>
          <w:p w14:paraId="6A446D7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</w:rPr>
              <w:t>0.0%</w:t>
            </w:r>
          </w:p>
        </w:tc>
        <w:tc>
          <w:tcPr>
            <w:tcW w:w="1296" w:type="dxa"/>
            <w:vAlign w:val="center"/>
          </w:tcPr>
          <w:p w14:paraId="6D24E56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0.3%</w:t>
            </w:r>
          </w:p>
        </w:tc>
        <w:tc>
          <w:tcPr>
            <w:tcW w:w="1422" w:type="dxa"/>
            <w:vAlign w:val="center"/>
          </w:tcPr>
          <w:p w14:paraId="79E9601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8"/>
              </w:rPr>
              <w:t>100.0%</w:t>
            </w:r>
          </w:p>
        </w:tc>
      </w:tr>
    </w:tbl>
    <w:p w14:paraId="1C1F4B3B">
      <w:pPr>
        <w:spacing w:after="120" w:line="240" w:lineRule="auto"/>
        <w:ind w:firstLine="0"/>
      </w:pPr>
      <w:r>
        <w:t xml:space="preserve"> </w:t>
      </w:r>
    </w:p>
    <w:p w14:paraId="4A569385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两项必须承认的结论</w:t>
      </w:r>
      <w:r>
        <w:rPr>
          <w:rFonts w:ascii="Times New Roman" w:hAnsi="Times New Roman" w:eastAsia="宋体" w:cs="Times New Roman"/>
          <w:color w:val="000000"/>
        </w:rPr>
        <w:t>：</w:t>
      </w:r>
    </w:p>
    <w:p w14:paraId="4C8D8100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其一，分位层对「低频高损」情形不适配。</w:t>
      </w:r>
      <w:r>
        <w:rPr>
          <w:rFonts w:ascii="Times New Roman" w:hAnsi="Times New Roman" w:eastAsia="宋体" w:cs="Times New Roman"/>
          <w:color w:val="000000"/>
        </w:rPr>
        <w:t xml:space="preserve"> 跳涨 50% 仅略超 </w:t>
      </w:r>
      <m:oMath>
        <m:r>
          <m:rPr/>
          <m:t>κ</m:t>
        </m:r>
        <m:r>
          <m:rPr>
            <m:sty m:val="p"/>
          </m:rPr>
          <m:t>=</m:t>
        </m:r>
        <m:r>
          <m:rPr/>
          <m:t>1.30</m:t>
        </m:r>
      </m:oMath>
      <w:r>
        <w:rPr>
          <w:rFonts w:ascii="Times New Roman" w:hAnsi="Times New Roman" w:eastAsia="宋体" w:cs="Times New Roman"/>
          <w:color w:val="000000"/>
        </w:rPr>
        <w:t xml:space="preserve">，随机游走有近半日数落在阈值下方 ⇒ 赔付分布高度集中 ⇒ </w:t>
      </w:r>
      <m:oMath>
        <m:sSub>
          <m:sSubPr/>
          <m:e>
            <m:r>
              <m:rPr/>
              <m:t>q</m:t>
            </m:r>
          </m:e>
          <m:sub>
            <m:r>
              <m:rPr/>
              <m:t>75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q</m:t>
            </m:r>
          </m:e>
          <m:sub>
            <m:r>
              <m:rPr/>
              <m:t>99.5</m:t>
            </m:r>
          </m:sub>
        </m:sSub>
      </m:oMath>
      <w:r>
        <w:rPr>
          <w:rFonts w:ascii="Times New Roman" w:hAnsi="Times New Roman" w:eastAsia="宋体" w:cs="Times New Roman"/>
          <w:color w:val="000000"/>
        </w:rPr>
        <w:t xml:space="preserve"> ⇒ </w:t>
      </w:r>
      <w:r>
        <w:rPr>
          <w:rFonts w:ascii="Times New Roman" w:hAnsi="Times New Roman" w:eastAsia="黑体" w:cs="Times New Roman"/>
          <w:b/>
          <w:color w:val="000000"/>
        </w:rPr>
        <w:t>层宽为 0、覆盖率为 0</w:t>
      </w:r>
      <w:r>
        <w:rPr>
          <w:rFonts w:ascii="Times New Roman" w:hAnsi="Times New Roman" w:eastAsia="宋体" w:cs="Times New Roman"/>
          <w:color w:val="000000"/>
        </w:rPr>
        <w:t>。这不是 bug，而是分位层的真实性质。</w:t>
      </w:r>
      <w:r>
        <w:rPr>
          <w:rFonts w:ascii="Times New Roman" w:hAnsi="Times New Roman" w:eastAsia="黑体" w:cs="Times New Roman"/>
          <w:b/>
          <w:color w:val="000000"/>
        </w:rPr>
        <w:t>销售材料中不得宣称"分位层覆盖尾部风险"。</w:t>
      </w:r>
    </w:p>
    <w:p w14:paraId="26C6DC3A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其二，责任上限相对赔付需求严重不足。</w:t>
      </w:r>
      <w:r>
        <w:rPr>
          <w:rFonts w:ascii="Times New Roman" w:hAnsi="Times New Roman" w:eastAsia="宋体" w:cs="Times New Roman"/>
          <w:color w:val="000000"/>
        </w:rPr>
        <w:t xml:space="preserve"> 即便改用绝对免赔口径（D=0，A=CAP），覆盖率也仅 0.3%–1.6%。原因：CAP = </w:t>
      </w:r>
      <m:oMath>
        <m:r>
          <m:rPr/>
          <m:t>2</m:t>
        </m:r>
        <m:sSub>
          <m:sSubPr/>
          <m:e>
            <m:r>
              <m:rPr/>
              <m:t>P</m:t>
            </m:r>
          </m:e>
          <m:sub>
            <m:r>
              <m:rPr/>
              <m:t>0</m:t>
            </m:r>
          </m:sub>
        </m:sSub>
      </m:oMath>
      <w:r>
        <w:rPr>
          <w:rFonts w:ascii="Times New Roman" w:hAnsi="Times New Roman" w:eastAsia="宋体" w:cs="Times New Roman"/>
          <w:color w:val="000000"/>
        </w:rPr>
        <w:t xml:space="preserve"> 被日均化后仅 0.80 元/日，而跳涨情形的日均赔付需求约 49–297 元/日，</w:t>
      </w:r>
      <w:r>
        <w:rPr>
          <w:rFonts w:ascii="Times New Roman" w:hAnsi="Times New Roman" w:eastAsia="黑体" w:cs="Times New Roman"/>
          <w:b/>
          <w:color w:val="000000"/>
        </w:rPr>
        <w:t>上限低了 1–2 个数量级</w:t>
      </w:r>
      <w:r>
        <w:rPr>
          <w:rFonts w:ascii="Times New Roman" w:hAnsi="Times New Roman" w:eastAsia="宋体" w:cs="Times New Roman"/>
          <w:color w:val="000000"/>
        </w:rPr>
        <w:t>。</w:t>
      </w:r>
    </w:p>
    <w:p w14:paraId="59FF2FDA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这一条是全文最重的局限，也是下一步最该改的地方</w:t>
      </w:r>
      <w:r>
        <w:rPr>
          <w:rFonts w:ascii="Times New Roman" w:hAnsi="Times New Roman" w:eastAsia="宋体" w:cs="Times New Roman"/>
          <w:color w:val="000000"/>
        </w:rPr>
        <w:t>：</w:t>
      </w:r>
      <m:oMath>
        <m:r>
          <m:rPr>
            <m:nor/>
            <m:sty m:val="p"/>
          </m:rPr>
          <w:rPr>
            <w:b w:val="0"/>
            <w:i w:val="0"/>
          </w:rPr>
          <m:t>CAP</m:t>
        </m:r>
      </m:oMath>
      <w:r>
        <w:rPr>
          <w:rFonts w:ascii="Times New Roman" w:hAnsi="Times New Roman" w:eastAsia="宋体" w:cs="Times New Roman"/>
          <w:color w:val="000000"/>
        </w:rPr>
        <w:t xml:space="preserve"> 应按</w:t>
      </w:r>
      <w:r>
        <w:rPr>
          <w:rFonts w:ascii="Times New Roman" w:hAnsi="Times New Roman" w:eastAsia="黑体" w:cs="Times New Roman"/>
          <w:b/>
          <w:color w:val="000000"/>
        </w:rPr>
        <w:t>赔付需求的分位数</w:t>
      </w:r>
      <w:r>
        <w:rPr>
          <w:rFonts w:ascii="Times New Roman" w:hAnsi="Times New Roman" w:eastAsia="宋体" w:cs="Times New Roman"/>
          <w:color w:val="000000"/>
        </w:rPr>
        <w:t xml:space="preserve">而非锚价的倍数确定，且 </w:t>
      </w:r>
      <m:oMath>
        <m:r>
          <m:rPr/>
          <m:t>κ</m:t>
        </m:r>
      </m:oMath>
      <w:r>
        <w:rPr>
          <w:rFonts w:ascii="Times New Roman" w:hAnsi="Times New Roman" w:eastAsia="宋体" w:cs="Times New Roman"/>
          <w:color w:val="000000"/>
        </w:rPr>
        <w:t xml:space="preserve"> 在低价位下宜取更小值（承认低位的高跳跃风险）。</w:t>
      </w:r>
    </w:p>
    <w:p w14:paraId="525B3806">
      <w:pPr>
        <w:pStyle w:val="5"/>
        <w:ind w:firstLine="0"/>
        <w:jc w:val="left"/>
      </w:pPr>
      <w:bookmarkStart w:id="30" w:name="_Toc11247"/>
      <w:r>
        <w:rPr>
          <w:rFonts w:ascii="Times New Roman" w:hAnsi="Times New Roman" w:eastAsia="黑体" w:cs="Times New Roman"/>
          <w:b/>
          <w:color w:val="000000"/>
          <w:sz w:val="28"/>
        </w:rPr>
        <w:t>6.2 赔付率的诚实披露</w:t>
      </w:r>
      <w:bookmarkEnd w:id="30"/>
    </w:p>
    <w:p w14:paraId="3B623770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>赔付率 46.5% ⇒ 综合成本率 58.5%，</w:t>
      </w:r>
      <w:r>
        <w:rPr>
          <w:rFonts w:ascii="Times New Roman" w:hAnsi="Times New Roman" w:eastAsia="黑体" w:cs="Times New Roman"/>
          <w:b/>
          <w:color w:val="000000"/>
        </w:rPr>
        <w:t>远低于财产险行业 95–100% 的经验区间</w:t>
      </w:r>
      <w:r>
        <w:rPr>
          <w:rFonts w:ascii="Times New Roman" w:hAnsi="Times New Roman" w:eastAsia="宋体" w:cs="Times New Roman"/>
          <w:color w:val="000000"/>
        </w:rPr>
        <w:t>。两条成因：</w:t>
      </w:r>
    </w:p>
    <w:p w14:paraId="71EFC9F9">
      <w:pPr>
        <w:pStyle w:val="16"/>
        <w:spacing w:after="40" w:line="336" w:lineRule="auto"/>
        <w:ind w:left="480" w:hanging="360"/>
      </w:pPr>
      <w:r>
        <w:rPr>
          <w:rFonts w:ascii="Times New Roman" w:hAnsi="Times New Roman" w:eastAsia="黑体" w:cs="Times New Roman"/>
          <w:b/>
          <w:color w:val="000000"/>
        </w:rPr>
        <w:t>波动率假设保守</w:t>
      </w:r>
      <w:r>
        <w:rPr>
          <w:rFonts w:ascii="Times New Roman" w:hAnsi="Times New Roman" w:eastAsia="宋体" w:cs="Times New Roman"/>
          <w:color w:val="000000"/>
        </w:rPr>
        <w:t>：</w:t>
      </w:r>
      <m:oMath>
        <m:sSub>
          <m:sSubPr/>
          <m:e>
            <m:r>
              <m:rPr/>
              <m:t>σ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>
          <m:rPr/>
          <m:t>0.28</m:t>
        </m:r>
      </m:oMath>
      <w:r>
        <w:rPr>
          <w:rFonts w:ascii="Times New Roman" w:hAnsi="Times New Roman" w:eastAsia="宋体" w:cs="Times New Roman"/>
          <w:color w:val="000000"/>
        </w:rPr>
        <w:t>，实测可标定值 0.185，约 1.5 倍</w:t>
      </w:r>
    </w:p>
    <w:p w14:paraId="40954A46">
      <w:pPr>
        <w:pStyle w:val="16"/>
        <w:spacing w:after="40" w:line="336" w:lineRule="auto"/>
        <w:ind w:left="480" w:hanging="360"/>
      </w:pPr>
      <w:r>
        <w:rPr>
          <w:rFonts w:ascii="Times New Roman" w:hAnsi="Times New Roman" w:eastAsia="黑体" w:cs="Times New Roman"/>
          <w:b/>
          <w:color w:val="000000"/>
        </w:rPr>
        <w:t>分散因子已取保守值</w:t>
      </w:r>
      <w:r>
        <w:rPr>
          <w:rFonts w:ascii="Times New Roman" w:hAnsi="Times New Roman" w:eastAsia="宋体" w:cs="Times New Roman"/>
          <w:color w:val="000000"/>
        </w:rPr>
        <w:t>：</w:t>
      </w:r>
      <m:oMath>
        <m:r>
          <m:rPr/>
          <m:t>ϕ</m:t>
        </m:r>
        <m:r>
          <m:rPr>
            <m:sty m:val="p"/>
          </m:rPr>
          <m:t>=</m:t>
        </m:r>
        <m:r>
          <m:rPr/>
          <m:t>1.00</m:t>
        </m:r>
      </m:oMath>
      <w:r>
        <w:rPr>
          <w:rFonts w:ascii="Times New Roman" w:hAnsi="Times New Roman" w:eastAsia="宋体" w:cs="Times New Roman"/>
          <w:color w:val="000000"/>
        </w:rPr>
        <w:t>（若取 0.5541，报价将下降约 27%）</w:t>
      </w:r>
    </w:p>
    <w:p w14:paraId="4F918352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赔付率在 12 档 σ 网格中恒定于 40%–47%</w:t>
      </w:r>
      <w:r>
        <w:rPr>
          <w:rFonts w:ascii="Times New Roman" w:hAnsi="Times New Roman" w:eastAsia="宋体" w:cs="Times New Roman"/>
          <w:color w:val="000000"/>
        </w:rPr>
        <w:t xml:space="preserve">，这是 </w:t>
      </w:r>
      <m:oMath>
        <m:sSub>
          <m:sSubPr/>
          <m:e>
            <m:r>
              <m:rPr/>
              <m:t>q</m:t>
            </m:r>
          </m:e>
          <m:sub>
            <m:r>
              <m:rPr/>
              <m:t>75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q</m:t>
            </m:r>
          </m:e>
          <m:sub>
            <m:r>
              <m:rPr/>
              <m:t>99.5</m:t>
            </m:r>
          </m:sub>
        </m:sSub>
      </m:oMath>
      <w:r>
        <w:rPr>
          <w:rFonts w:ascii="Times New Roman" w:hAnsi="Times New Roman" w:eastAsia="宋体" w:cs="Times New Roman"/>
          <w:color w:val="000000"/>
        </w:rPr>
        <w:t xml:space="preserve"> 分位层的结构特征 —— 分层赔付对波动率近似等弹性 —— 而非参数巧合。</w:t>
      </w:r>
    </w:p>
    <w:p w14:paraId="10B9E40E">
      <w:pPr>
        <w:pStyle w:val="5"/>
        <w:ind w:firstLine="0"/>
        <w:jc w:val="left"/>
      </w:pPr>
      <w:bookmarkStart w:id="31" w:name="_Toc9095"/>
      <w:r>
        <w:rPr>
          <w:rFonts w:ascii="Times New Roman" w:hAnsi="Times New Roman" w:eastAsia="黑体" w:cs="Times New Roman"/>
          <w:b/>
          <w:color w:val="000000"/>
          <w:sz w:val="28"/>
        </w:rPr>
        <w:t>6.3 局限与产品存续前提</w:t>
      </w:r>
      <w:bookmarkEnd w:id="31"/>
    </w:p>
    <w:p w14:paraId="49C9FAAD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局限一</w:t>
      </w:r>
      <w:r>
        <w:rPr>
          <w:rFonts w:ascii="Times New Roman" w:hAnsi="Times New Roman" w:eastAsia="宋体" w:cs="Times New Roman"/>
          <w:color w:val="000000"/>
        </w:rPr>
        <w:t>：责任上限不足（§6.1），是本产品当前最实质的短板。</w:t>
      </w:r>
    </w:p>
    <w:p w14:paraId="2A340358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局限一点五</w:t>
      </w:r>
      <w:r>
        <w:rPr>
          <w:rFonts w:ascii="Times New Roman" w:hAnsi="Times New Roman" w:eastAsia="宋体" w:cs="Times New Roman"/>
          <w:color w:val="000000"/>
        </w:rPr>
        <w:t>：</w:t>
      </w:r>
      <w:r>
        <w:rPr>
          <w:rFonts w:ascii="Times New Roman" w:hAnsi="Times New Roman" w:eastAsia="黑体" w:cs="Times New Roman"/>
          <w:b/>
          <w:color w:val="000000"/>
        </w:rPr>
        <w:t xml:space="preserve">缺口量 </w:t>
      </w:r>
      <m:oMath>
        <m:r>
          <m:rPr/>
          <m:t>Q</m:t>
        </m:r>
      </m:oMath>
      <w:r>
        <w:rPr>
          <w:rFonts w:ascii="Times New Roman" w:hAnsi="Times New Roman" w:eastAsia="黑体" w:cs="Times New Roman"/>
          <w:b/>
          <w:color w:val="000000"/>
        </w:rPr>
        <w:t xml:space="preserve"> 的随机过程未建模</w:t>
      </w:r>
      <w:r>
        <w:rPr>
          <w:rFonts w:ascii="Times New Roman" w:hAnsi="Times New Roman" w:eastAsia="宋体" w:cs="Times New Roman"/>
          <w:color w:val="000000"/>
        </w:rPr>
        <w:t xml:space="preserve">。引擎按确定性比例处理 </w:t>
      </w:r>
      <m:oMath>
        <m:r>
          <m:rPr/>
          <m:t>Q</m:t>
        </m:r>
      </m:oMath>
      <w:r>
        <w:rPr>
          <w:rFonts w:ascii="Times New Roman" w:hAnsi="Times New Roman" w:eastAsia="宋体" w:cs="Times New Roman"/>
          <w:color w:val="000000"/>
        </w:rPr>
        <w:t>（</w:t>
      </w:r>
      <m:oMath>
        <m:sSub>
          <m:sSubPr/>
          <m:e>
            <m:r>
              <m:rPr/>
              <m:t>T</m:t>
            </m:r>
          </m:e>
          <m:sub>
            <m:r>
              <m:rPr/>
              <m:t>6</m:t>
            </m:r>
          </m:sub>
        </m:sSub>
      </m:oMath>
      <w:r>
        <w:rPr>
          <w:rFonts w:ascii="Times New Roman" w:hAnsi="Times New Roman" w:eastAsia="宋体" w:cs="Times New Roman"/>
          <w:color w:val="000000"/>
        </w:rPr>
        <w:t xml:space="preserve"> 的缺口弹性为线性近似），故赔付与实际损失之间的基差风险</w:t>
      </w:r>
      <w:r>
        <w:rPr>
          <w:rFonts w:ascii="Times New Roman" w:hAnsi="Times New Roman" w:eastAsia="黑体" w:cs="Times New Roman"/>
          <w:b/>
          <w:color w:val="000000"/>
        </w:rPr>
        <w:t>未获计量</w:t>
      </w:r>
      <w:r>
        <w:rPr>
          <w:rFonts w:ascii="Times New Roman" w:hAnsi="Times New Roman" w:eastAsia="宋体" w:cs="Times New Roman"/>
          <w:color w:val="000000"/>
        </w:rPr>
        <w:t>。</w:t>
      </w:r>
      <m:oMath>
        <m:r>
          <m:rPr/>
          <m:t>ρ</m:t>
        </m:r>
        <m:r>
          <m:rPr>
            <m:sty m:val="p"/>
          </m:rPr>
          <m:t>(</m:t>
        </m:r>
        <m:r>
          <m:rPr/>
          <m:t>P</m:t>
        </m:r>
        <m:r>
          <m:rPr>
            <m:sty m:val="p"/>
          </m:rPr>
          <m:t>,</m:t>
        </m:r>
        <m:r>
          <m:rPr/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宋体" w:cs="Times New Roman"/>
          <w:color w:val="000000"/>
        </w:rPr>
        <w:t xml:space="preserve"> 的符号与量级须由经验数据回校确定，这是本文最主要的未验证假设。</w:t>
      </w:r>
    </w:p>
    <w:p w14:paraId="22E9CFBA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局限二</w:t>
      </w:r>
      <w:r>
        <w:rPr>
          <w:rFonts w:ascii="Times New Roman" w:hAnsi="Times New Roman" w:eastAsia="宋体" w:cs="Times New Roman"/>
          <w:color w:val="000000"/>
        </w:rPr>
        <w:t>：义务量递增风险</w:t>
      </w:r>
      <w:r>
        <w:rPr>
          <w:rFonts w:ascii="Times New Roman" w:hAnsi="Times New Roman" w:eastAsia="黑体" w:cs="Times New Roman"/>
          <w:b/>
          <w:color w:val="000000"/>
        </w:rPr>
        <w:t>不可保</w:t>
      </w:r>
      <w:r>
        <w:rPr>
          <w:rFonts w:ascii="Times New Roman" w:hAnsi="Times New Roman" w:eastAsia="宋体" w:cs="Times New Roman"/>
          <w:color w:val="000000"/>
        </w:rPr>
        <w:t>。两条理由：其一，</w:t>
      </w:r>
      <w:r>
        <w:rPr>
          <w:rFonts w:ascii="Times New Roman" w:hAnsi="Times New Roman" w:eastAsia="黑体" w:cs="Times New Roman"/>
          <w:b/>
          <w:color w:val="000000"/>
        </w:rPr>
        <w:t>风险在投保人控制之下</w:t>
      </w:r>
      <w:r>
        <w:rPr>
          <w:rFonts w:ascii="Times New Roman" w:hAnsi="Times New Roman" w:eastAsia="宋体" w:cs="Times New Roman"/>
          <w:color w:val="000000"/>
        </w:rPr>
        <w:t xml:space="preserve"> —— 企业可主动多减排、少生产、购买 CCER 来压低义务量，承保"越努力越不赔"的损失会产生逆向激励，且企业减排的收益会超过赔款；其二，</w:t>
      </w:r>
      <w:r>
        <w:rPr>
          <w:rFonts w:ascii="Times New Roman" w:hAnsi="Times New Roman" w:eastAsia="黑体" w:cs="Times New Roman"/>
          <w:b/>
          <w:color w:val="000000"/>
        </w:rPr>
        <w:t>量级微小</w:t>
      </w:r>
      <w:r>
        <w:rPr>
          <w:rFonts w:ascii="Times New Roman" w:hAnsi="Times New Roman" w:eastAsia="宋体" w:cs="Times New Roman"/>
          <w:color w:val="000000"/>
        </w:rPr>
        <w:t xml:space="preserve"> —— 全国 13.5–18.2 亿元/年，相对发电行业约 490 亿元/年的碳成本仅占 3%，年降 0.1%–1%。</w:t>
      </w:r>
      <w:r>
        <w:rPr>
          <w:rFonts w:ascii="Times New Roman" w:hAnsi="Times New Roman" w:eastAsia="黑体" w:cs="Times New Roman"/>
          <w:b/>
          <w:color w:val="000000"/>
        </w:rPr>
        <w:t>但若碳价涨到 500 元/吨，该项将放大至 70–90 亿元/年，量级不再微小</w:t>
      </w:r>
      <w:r>
        <w:rPr>
          <w:rFonts w:ascii="Times New Roman" w:hAnsi="Times New Roman" w:eastAsia="宋体" w:cs="Times New Roman"/>
          <w:color w:val="000000"/>
        </w:rPr>
        <w:t xml:space="preserve"> —— 这是留给下一代产品的门。</w:t>
      </w:r>
    </w:p>
    <w:p w14:paraId="1EC809C1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局限三（时效性最强）</w:t>
      </w:r>
      <w:r>
        <w:rPr>
          <w:rFonts w:ascii="Times New Roman" w:hAnsi="Times New Roman" w:eastAsia="宋体" w:cs="Times New Roman"/>
          <w:color w:val="000000"/>
        </w:rPr>
        <w:t>：全国碳市场 2021–2025 年换手率持续低于 5%，交易集中于履约清缴期但集中度在下降（2024 年 10–12 月占 76.53%，2025 年前三季度占 42%、四季度 58%）。广期所碳期货</w:t>
      </w:r>
      <w:r>
        <w:rPr>
          <w:rFonts w:ascii="Times New Roman" w:hAnsi="Times New Roman" w:eastAsia="黑体" w:cs="Times New Roman"/>
          <w:b/>
          <w:color w:val="000000"/>
        </w:rPr>
        <w:t>尚未上市</w:t>
      </w:r>
      <w:r>
        <w:rPr>
          <w:rFonts w:ascii="Times New Roman" w:hAnsi="Times New Roman" w:eastAsia="宋体" w:cs="Times New Roman"/>
          <w:color w:val="000000"/>
        </w:rPr>
        <w:t>（合约设计方案已完成），预期 2026–2027。</w:t>
      </w:r>
      <w:r>
        <w:rPr>
          <w:rFonts w:ascii="Times New Roman" w:hAnsi="Times New Roman" w:eastAsia="黑体" w:cs="Times New Roman"/>
          <w:b/>
          <w:color w:val="000000"/>
        </w:rPr>
        <w:t>本产品的存续前提是现货流动性不足以自保。</w:t>
      </w:r>
      <w:r>
        <w:rPr>
          <w:rFonts w:ascii="Times New Roman" w:hAnsi="Times New Roman" w:eastAsia="宋体" w:cs="Times New Roman"/>
          <w:color w:val="000000"/>
        </w:rPr>
        <w:t xml:space="preserve"> 期货上市后，价格端可完全对冲，本产品空间压缩至两项期货无法处理的风险：</w:t>
      </w:r>
    </w:p>
    <w:p w14:paraId="7EC9D87B">
      <w:pPr>
        <w:pStyle w:val="14"/>
        <w:numPr>
          <w:ilvl w:val="0"/>
          <w:numId w:val="7"/>
        </w:numPr>
        <w:spacing w:after="40" w:line="336" w:lineRule="auto"/>
        <w:ind w:left="480" w:hanging="360"/>
      </w:pPr>
      <w:r>
        <w:rPr>
          <w:rFonts w:ascii="Times New Roman" w:hAnsi="Times New Roman" w:eastAsia="黑体" w:cs="Times New Roman"/>
          <w:b/>
          <w:color w:val="000000"/>
        </w:rPr>
        <w:t>义务量递增</w:t>
      </w:r>
      <w:r>
        <w:rPr>
          <w:rFonts w:ascii="Times New Roman" w:hAnsi="Times New Roman" w:eastAsia="宋体" w:cs="Times New Roman"/>
          <w:color w:val="000000"/>
        </w:rPr>
        <w:t xml:space="preserve">：期货对冲价格，对冲不了免费分配逐年收紧导致的强制购买量上升 —— </w:t>
      </w:r>
      <w:r>
        <w:rPr>
          <w:rFonts w:ascii="Times New Roman" w:hAnsi="Times New Roman" w:eastAsia="黑体" w:cs="Times New Roman"/>
          <w:b/>
          <w:color w:val="000000"/>
        </w:rPr>
        <w:t>但此项目前不可保（局限二）</w:t>
      </w:r>
    </w:p>
    <w:p w14:paraId="3587DA79">
      <w:pPr>
        <w:pStyle w:val="14"/>
        <w:numPr>
          <w:ilvl w:val="0"/>
          <w:numId w:val="7"/>
        </w:numPr>
        <w:spacing w:after="40" w:line="336" w:lineRule="auto"/>
        <w:ind w:left="480" w:hanging="360"/>
      </w:pPr>
      <w:r>
        <w:rPr>
          <w:rFonts w:ascii="Times New Roman" w:hAnsi="Times New Roman" w:eastAsia="黑体" w:cs="Times New Roman"/>
          <w:b/>
          <w:color w:val="000000"/>
        </w:rPr>
        <w:t>清缴期流动性枯竭</w:t>
      </w:r>
      <w:r>
        <w:rPr>
          <w:rFonts w:ascii="Times New Roman" w:hAnsi="Times New Roman" w:eastAsia="宋体" w:cs="Times New Roman"/>
          <w:color w:val="000000"/>
        </w:rPr>
        <w:t>：大型集团（缺口 500 万吨）在履约季买不完的概率 76.8%；但标的不可核验且道德风险高，</w:t>
      </w:r>
      <w:r>
        <w:rPr>
          <w:rFonts w:ascii="Times New Roman" w:hAnsi="Times New Roman" w:eastAsia="黑体" w:cs="Times New Roman"/>
          <w:b/>
          <w:color w:val="000000"/>
        </w:rPr>
        <w:t>宜作服务性条款（代购 + 分批下单）而非赔付责任</w:t>
      </w:r>
    </w:p>
    <w:p w14:paraId="2951B35D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若第 5 年后现货换手率显著上升，本产品应退市。</w:t>
      </w:r>
      <w:r>
        <w:rPr>
          <w:rFonts w:ascii="Times New Roman" w:hAnsi="Times New Roman" w:eastAsia="宋体" w:cs="Times New Roman"/>
          <w:color w:val="000000"/>
        </w:rPr>
        <w:t xml:space="preserve"> 这一退市条件须写入产品定位，而非回避。</w:t>
      </w:r>
    </w:p>
    <w:p w14:paraId="4EFBE265">
      <w:pPr>
        <w:pStyle w:val="5"/>
        <w:ind w:firstLine="0"/>
        <w:jc w:val="left"/>
      </w:pPr>
      <w:bookmarkStart w:id="32" w:name="_Toc27658"/>
      <w:r>
        <w:rPr>
          <w:rFonts w:ascii="Times New Roman" w:hAnsi="Times New Roman" w:eastAsia="黑体" w:cs="Times New Roman"/>
          <w:b/>
          <w:color w:val="000000"/>
          <w:sz w:val="28"/>
        </w:rPr>
        <w:t>6.4 结论</w:t>
      </w:r>
      <w:bookmarkEnd w:id="32"/>
    </w:p>
    <w:p w14:paraId="3ADC1BEF"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color w:val="000000"/>
        </w:rPr>
        <w:t xml:space="preserve">五点：① 以 </w:t>
      </w:r>
      <m:oMath>
        <m:sSub>
          <m:sSubPr/>
          <m:e>
            <m:r>
              <m:rPr/>
              <m:t>P</m:t>
            </m:r>
          </m:e>
          <m:sub>
            <m:r>
              <m:rPr/>
              <m:t>d</m:t>
            </m:r>
          </m:sub>
        </m:sSub>
        <m:sSub>
          <m:sSubPr/>
          <m:e>
            <m:r>
              <m:rPr/>
              <m:t>Q</m:t>
            </m:r>
          </m:e>
          <m:sub>
            <m:r>
              <m:rPr/>
              <m:t>d</m:t>
            </m:r>
          </m:sub>
        </m:sSub>
      </m:oMath>
      <w:r>
        <w:rPr>
          <w:rFonts w:ascii="Times New Roman" w:hAnsi="Times New Roman" w:eastAsia="宋体" w:cs="Times New Roman"/>
          <w:color w:val="000000"/>
        </w:rPr>
        <w:t xml:space="preserve"> 为标的，赔付与实际损失同为「价×量」结构，但 </w:t>
      </w:r>
      <m:oMath>
        <m:r>
          <m:rPr/>
          <m:t>Q</m:t>
        </m:r>
      </m:oMath>
      <w:r>
        <w:rPr>
          <w:rFonts w:ascii="Times New Roman" w:hAnsi="Times New Roman" w:eastAsia="宋体" w:cs="Times New Roman"/>
          <w:color w:val="000000"/>
        </w:rPr>
        <w:t xml:space="preserve"> 的随机性未建模、基差风险未计量；② 承保必要性由 </w:t>
      </w:r>
      <m:oMath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∈[</m:t>
        </m:r>
        <m:r>
          <m:rPr/>
          <m:t>1.06</m:t>
        </m:r>
        <m:r>
          <m:rPr>
            <m:sty m:val="p"/>
          </m:rPr>
          <m:t>,</m:t>
        </m:r>
        <m:r>
          <m:rPr/>
          <m:t>3.14</m:t>
        </m:r>
        <m:r>
          <m:rPr>
            <m:sty m:val="p"/>
          </m:rPr>
          <m:t>]</m:t>
        </m:r>
      </m:oMath>
      <w:r>
        <w:rPr>
          <w:rFonts w:ascii="Times New Roman" w:hAnsi="Times New Roman" w:eastAsia="宋体" w:cs="Times New Roman"/>
          <w:color w:val="000000"/>
        </w:rPr>
        <w:t xml:space="preserve"> 的稳健区间支撑，不依赖 MAC 点值；③ 责任上限比例式是价格跃迁情形下能否承保的分水岭（定额结构 5 倍跃迁即失效）；④ 日度累计相对年末单点消除 19.58 元/吨的时间错配缺口；⑤ </w:t>
      </w:r>
      <w:r>
        <w:rPr>
          <w:rFonts w:ascii="Times New Roman" w:hAnsi="Times New Roman" w:eastAsia="黑体" w:cs="Times New Roman"/>
          <w:b/>
          <w:color w:val="000000"/>
        </w:rPr>
        <w:t>责任上限不足与分位层对低频高损的不适配，是本产品当前最大的未解问题。</w:t>
      </w:r>
    </w:p>
    <w:p w14:paraId="6F0A171B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进入承保前必办三项</w:t>
      </w:r>
      <w:r>
        <w:rPr>
          <w:rFonts w:ascii="Times New Roman" w:hAnsi="Times New Roman" w:eastAsia="宋体" w:cs="Times New Roman"/>
          <w:color w:val="000000"/>
        </w:rPr>
        <w:t xml:space="preserve">：完成 </w:t>
      </w:r>
      <m:oMath>
        <m:r>
          <m:rPr/>
          <m:t>ρ</m:t>
        </m:r>
        <m:r>
          <m:rPr>
            <m:sty m:val="p"/>
          </m:rPr>
          <m:t>(</m:t>
        </m:r>
        <m:r>
          <m:rPr/>
          <m:t>P</m:t>
        </m:r>
        <m:r>
          <m:rPr>
            <m:sty m:val="p"/>
          </m:rPr>
          <m:t>,</m:t>
        </m:r>
        <m:r>
          <m:rPr/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宋体" w:cs="Times New Roman"/>
          <w:color w:val="000000"/>
        </w:rPr>
        <w:t xml:space="preserve"> 的经验回校设计；就锚日取法与投保人达成书面约定；就责任上限的设定方式（按需求分位数而非锚价倍数）重新校准。</w:t>
      </w:r>
    </w:p>
    <w:p w14:paraId="2DE9AB93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明确未做的事</w:t>
      </w:r>
      <w:r>
        <w:rPr>
          <w:rFonts w:ascii="Times New Roman" w:hAnsi="Times New Roman" w:eastAsia="宋体" w:cs="Times New Roman"/>
          <w:color w:val="000000"/>
        </w:rPr>
        <w:t>：未承保排放量本身的风险；未承保配额分配方法变更风险；未使用影子价格作为触发因子；未以责任上限覆盖低频高损情形（当前上限不足，见 §6.1）。</w:t>
      </w:r>
    </w:p>
    <w:p w14:paraId="7F7F1405">
      <w:pPr>
        <w:pBdr>
          <w:bottom w:val="single" w:color="000000" w:sz="6" w:space="1"/>
        </w:pBdr>
        <w:spacing w:before="40" w:after="120"/>
        <w:ind w:firstLine="0"/>
      </w:pPr>
    </w:p>
    <w:p w14:paraId="5E05F07E">
      <w:pPr>
        <w:pStyle w:val="4"/>
        <w:ind w:firstLine="0"/>
        <w:jc w:val="left"/>
      </w:pPr>
      <w:bookmarkStart w:id="33" w:name="_Toc30861"/>
      <w:r>
        <w:rPr>
          <w:rFonts w:ascii="Times New Roman" w:hAnsi="Times New Roman" w:eastAsia="黑体" w:cs="Times New Roman"/>
          <w:b/>
          <w:color w:val="000000"/>
          <w:sz w:val="32"/>
        </w:rPr>
        <w:t>附表 A：口径敏感性汇总</w:t>
      </w:r>
      <w:bookmarkEnd w:id="33"/>
    </w:p>
    <w:tbl>
      <w:tblPr>
        <w:tblStyle w:val="36"/>
        <w:tblW w:w="8278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4"/>
        <w:gridCol w:w="1045"/>
        <w:gridCol w:w="1693"/>
        <w:gridCol w:w="2736"/>
      </w:tblGrid>
      <w:tr w14:paraId="4E8DE06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04" w:type="dxa"/>
            <w:tcBorders>
              <w:bottom w:val="single" w:color="000000" w:sz="6" w:space="0"/>
            </w:tcBorders>
            <w:vAlign w:val="center"/>
          </w:tcPr>
          <w:p w14:paraId="457B0FC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口径选择</w:t>
            </w:r>
          </w:p>
        </w:tc>
        <w:tc>
          <w:tcPr>
            <w:tcW w:w="1045" w:type="dxa"/>
            <w:tcBorders>
              <w:bottom w:val="single" w:color="000000" w:sz="6" w:space="0"/>
            </w:tcBorders>
            <w:vAlign w:val="center"/>
          </w:tcPr>
          <w:p w14:paraId="5B1F1EED">
            <w:pPr>
              <w:spacing w:before="20" w:after="20" w:line="240" w:lineRule="auto"/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0</m:t>
                    </m:r>
                  </m:sub>
                </m:sSub>
              </m:oMath>
            </m:oMathPara>
          </w:p>
        </w:tc>
        <w:tc>
          <w:tcPr>
            <w:tcW w:w="1693" w:type="dxa"/>
            <w:tcBorders>
              <w:bottom w:val="single" w:color="000000" w:sz="6" w:space="0"/>
            </w:tcBorders>
            <w:vAlign w:val="center"/>
          </w:tcPr>
          <w:p w14:paraId="16C9A75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是否用于定价</w:t>
            </w:r>
          </w:p>
        </w:tc>
        <w:tc>
          <w:tcPr>
            <w:tcW w:w="2736" w:type="dxa"/>
            <w:tcBorders>
              <w:bottom w:val="single" w:color="000000" w:sz="6" w:space="0"/>
            </w:tcBorders>
            <w:vAlign w:val="center"/>
          </w:tcPr>
          <w:p w14:paraId="443A411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理由</w:t>
            </w:r>
          </w:p>
        </w:tc>
      </w:tr>
      <w:tr w14:paraId="302D624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4" w:type="dxa"/>
            <w:vAlign w:val="center"/>
          </w:tcPr>
          <w:p w14:paraId="120FD467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结构外推（主口径）</w:t>
            </w:r>
          </w:p>
        </w:tc>
        <w:tc>
          <w:tcPr>
            <w:tcW w:w="1045" w:type="dxa"/>
            <w:vAlign w:val="center"/>
          </w:tcPr>
          <w:p w14:paraId="78C8BA7F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1.3244</w:t>
            </w:r>
          </w:p>
        </w:tc>
        <w:tc>
          <w:tcPr>
            <w:tcW w:w="1693" w:type="dxa"/>
            <w:vAlign w:val="center"/>
          </w:tcPr>
          <w:p w14:paraId="4630F267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是（仅作必要性实证）</w:t>
            </w:r>
          </w:p>
        </w:tc>
        <w:tc>
          <w:tcPr>
            <w:tcW w:w="2736" w:type="dxa"/>
            <w:vAlign w:val="center"/>
          </w:tcPr>
          <w:p w14:paraId="4AE6AFE4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唯一含技术进步的内生路径</w:t>
            </w:r>
          </w:p>
        </w:tc>
      </w:tr>
      <w:tr w14:paraId="4C385D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4" w:type="dxa"/>
            <w:vAlign w:val="center"/>
          </w:tcPr>
          <w:p w14:paraId="562A330A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价格平移</w:t>
            </w:r>
          </w:p>
        </w:tc>
        <w:tc>
          <w:tcPr>
            <w:tcW w:w="1045" w:type="dxa"/>
            <w:vAlign w:val="center"/>
          </w:tcPr>
          <w:p w14:paraId="1DA572F8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4.2219</w:t>
            </w:r>
          </w:p>
        </w:tc>
        <w:tc>
          <w:tcPr>
            <w:tcW w:w="1693" w:type="dxa"/>
            <w:vAlign w:val="center"/>
          </w:tcPr>
          <w:p w14:paraId="3537D581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否</w:t>
            </w:r>
          </w:p>
        </w:tc>
        <w:tc>
          <w:tcPr>
            <w:tcW w:w="2736" w:type="dxa"/>
            <w:vAlign w:val="center"/>
          </w:tcPr>
          <w:p w14:paraId="0B13F987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等价于假设技术零进步</w:t>
            </w:r>
          </w:p>
        </w:tc>
      </w:tr>
      <w:tr w14:paraId="1D29EBB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4" w:type="dxa"/>
            <w:vAlign w:val="center"/>
          </w:tcPr>
          <w:p w14:paraId="4579FA39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单参数最不利扰动</w:t>
            </w:r>
          </w:p>
        </w:tc>
        <w:tc>
          <w:tcPr>
            <w:tcW w:w="1045" w:type="dxa"/>
            <w:vAlign w:val="center"/>
          </w:tcPr>
          <w:p w14:paraId="706CEF50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1.06</w:t>
            </w:r>
          </w:p>
        </w:tc>
        <w:tc>
          <w:tcPr>
            <w:tcW w:w="1693" w:type="dxa"/>
            <w:vAlign w:val="center"/>
          </w:tcPr>
          <w:p w14:paraId="67AF9A4D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—</w:t>
            </w:r>
          </w:p>
        </w:tc>
        <w:tc>
          <w:tcPr>
            <w:tcW w:w="2736" w:type="dxa"/>
            <w:vAlign w:val="center"/>
          </w:tcPr>
          <w:p w14:paraId="6615E61D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下界，仍 &gt; 1</w:t>
            </w:r>
          </w:p>
        </w:tc>
      </w:tr>
      <w:tr w14:paraId="358802F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4" w:type="dxa"/>
            <w:vAlign w:val="center"/>
          </w:tcPr>
          <w:p w14:paraId="7D01279D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剔除负 </w:t>
            </w:r>
            <m:oMath>
              <m:r>
                <m:rPr/>
                <m:t>u</m:t>
              </m:r>
            </m:oMath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 xml:space="preserve"> 省（2026）</w:t>
            </w:r>
          </w:p>
        </w:tc>
        <w:tc>
          <w:tcPr>
            <w:tcW w:w="1045" w:type="dxa"/>
            <w:vAlign w:val="center"/>
          </w:tcPr>
          <w:p w14:paraId="6B70D18F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3.14</w:t>
            </w:r>
          </w:p>
        </w:tc>
        <w:tc>
          <w:tcPr>
            <w:tcW w:w="1693" w:type="dxa"/>
            <w:vAlign w:val="center"/>
          </w:tcPr>
          <w:p w14:paraId="69092825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—</w:t>
            </w:r>
          </w:p>
        </w:tc>
        <w:tc>
          <w:tcPr>
            <w:tcW w:w="2736" w:type="dxa"/>
            <w:vAlign w:val="center"/>
          </w:tcPr>
          <w:p w14:paraId="604281BF">
            <w:pPr>
              <w:spacing w:before="20" w:after="20" w:line="240" w:lineRule="auto"/>
              <w:ind w:firstLine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上界</w:t>
            </w:r>
          </w:p>
        </w:tc>
      </w:tr>
    </w:tbl>
    <w:p w14:paraId="510CA3D1">
      <w:pPr>
        <w:spacing w:after="120" w:line="240" w:lineRule="auto"/>
        <w:ind w:firstLine="0"/>
      </w:pPr>
      <w:r>
        <w:t xml:space="preserve"> </w:t>
      </w:r>
    </w:p>
    <w:p w14:paraId="60DD1A95">
      <w:pPr>
        <w:spacing w:after="40" w:line="360" w:lineRule="auto"/>
        <w:ind w:firstLine="480"/>
      </w:pPr>
      <w:r>
        <w:rPr>
          <w:rFonts w:ascii="Times New Roman" w:hAnsi="Times New Roman" w:eastAsia="黑体" w:cs="Times New Roman"/>
          <w:b/>
          <w:color w:val="000000"/>
        </w:rPr>
        <w:t>附表 C</w:t>
      </w:r>
      <w:r>
        <w:rPr>
          <w:rFonts w:ascii="Times New Roman" w:hAnsi="Times New Roman" w:eastAsia="宋体" w:cs="Times New Roman"/>
          <w:color w:val="000000"/>
        </w:rPr>
        <w:t>：</w:t>
      </w:r>
      <w:r>
        <w:rPr>
          <w:rFonts w:ascii="Consolas" w:hAnsi="Consolas" w:eastAsia="宋体" w:cs="Consolas"/>
          <w:color w:val="000000"/>
          <w:sz w:val="18"/>
        </w:rPr>
        <w:t>01_引擎/s36_proportional_daily.py</w:t>
      </w:r>
      <w:r>
        <w:rPr>
          <w:rFonts w:ascii="Times New Roman" w:hAnsi="Times New Roman" w:eastAsia="宋体" w:cs="Times New Roman"/>
          <w:color w:val="000000"/>
        </w:rPr>
        <w:t xml:space="preserve"> 全部产物 —— T1–T8 八张 CSV、</w:t>
      </w:r>
      <w:r>
        <w:rPr>
          <w:rFonts w:ascii="Consolas" w:hAnsi="Consolas" w:eastAsia="宋体" w:cs="Consolas"/>
          <w:color w:val="000000"/>
          <w:sz w:val="18"/>
        </w:rPr>
        <w:t>s36_比例式日度累计报价.json</w:t>
      </w:r>
      <w:r>
        <w:rPr>
          <w:rFonts w:ascii="Times New Roman" w:hAnsi="Times New Roman" w:eastAsia="宋体" w:cs="Times New Roman"/>
          <w:color w:val="000000"/>
        </w:rPr>
        <w:t>、</w:t>
      </w:r>
      <w:r>
        <w:rPr>
          <w:rFonts w:ascii="Consolas" w:hAnsi="Consolas" w:eastAsia="宋体" w:cs="Consolas"/>
          <w:color w:val="000000"/>
          <w:sz w:val="18"/>
        </w:rPr>
        <w:t>s36_验收断言.csv</w:t>
      </w:r>
      <w:r>
        <w:rPr>
          <w:rFonts w:ascii="Times New Roman" w:hAnsi="Times New Roman" w:eastAsia="宋体" w:cs="Times New Roman"/>
          <w:color w:val="000000"/>
        </w:rPr>
        <w:t>（15 条，全部通过）。</w:t>
      </w:r>
    </w:p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pgSz w:w="11906" w:h="16838"/>
      <w:pgMar w:top="1417" w:right="1814" w:bottom="1417" w:left="181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179D7">
    <w:pPr>
      <w:pStyle w:val="25"/>
      <w:ind w:firstLine="0"/>
      <w:jc w:val="center"/>
    </w:pPr>
    <w:r>
      <w:rPr>
        <w:rFonts w:ascii="Times New Roman" w:hAnsi="Times New Roman" w:eastAsia="宋体" w:cs="Times New Roman"/>
        <w:sz w:val="21"/>
      </w:rPr>
      <w:fldChar w:fldCharType="begin"/>
    </w:r>
    <w:r>
      <w:rPr>
        <w:rFonts w:ascii="Times New Roman" w:hAnsi="Times New Roman" w:eastAsia="宋体" w:cs="Times New Roman"/>
        <w:sz w:val="21"/>
      </w:rPr>
      <w:instrText xml:space="preserve"> PAGE </w:instrText>
    </w:r>
    <w:r>
      <w:rPr>
        <w:rFonts w:ascii="Times New Roman" w:hAnsi="Times New Roman" w:eastAsia="宋体" w:cs="Times New Roman"/>
        <w:sz w:val="21"/>
      </w:rPr>
      <w:fldChar w:fldCharType="separate"/>
    </w:r>
    <w:r>
      <w:rPr>
        <w:rFonts w:ascii="Times New Roman" w:hAnsi="Times New Roman" w:eastAsia="宋体" w:cs="Times New Roman"/>
        <w:sz w:val="21"/>
      </w:rPr>
      <w:t>1</w:t>
    </w:r>
    <w:r>
      <w:rPr>
        <w:rFonts w:ascii="Times New Roman" w:hAnsi="Times New Roman" w:eastAsia="宋体" w:cs="Times New Roman"/>
        <w:sz w:val="21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87121">
    <w:pPr>
      <w:pStyle w:val="2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ABBC4">
    <w:pPr>
      <w:pStyle w:val="2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33722E">
    <w:pPr>
      <w:pStyle w:val="2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6C1B2">
    <w:pPr>
      <w:pStyle w:val="2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E5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0"/>
    </w:pPr>
    <w:rPr>
      <w:rFonts w:ascii="Times New Roman" w:hAnsi="Times New Roman" w:eastAsia="宋体" w:cs="Times New Roman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0" w:after="280" w:line="336" w:lineRule="auto"/>
      <w:ind w:firstLine="0"/>
      <w:jc w:val="center"/>
      <w:outlineLvl w:val="0"/>
    </w:pPr>
    <w:rPr>
      <w:rFonts w:asciiTheme="majorHAnsi" w:hAnsiTheme="majorHAnsi" w:eastAsiaTheme="majorEastAsia" w:cstheme="majorBidi"/>
      <w:bCs/>
      <w:color w:val="000000"/>
      <w:sz w:val="44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80" w:after="160" w:line="336" w:lineRule="auto"/>
      <w:ind w:firstLine="0"/>
      <w:jc w:val="left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120" w:line="336" w:lineRule="auto"/>
      <w:ind w:firstLine="0"/>
      <w:jc w:val="left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160" w:after="80" w:line="336" w:lineRule="auto"/>
      <w:ind w:firstLine="0"/>
      <w:jc w:val="left"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:sz w:val="24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120" w:after="80" w:line="336" w:lineRule="auto"/>
      <w:ind w:firstLine="0"/>
      <w:jc w:val="left"/>
      <w:outlineLvl w:val="4"/>
    </w:pPr>
    <w:rPr>
      <w:rFonts w:asciiTheme="majorHAnsi" w:hAnsiTheme="majorHAnsi" w:eastAsiaTheme="majorEastAsia" w:cstheme="majorBidi"/>
      <w:b/>
      <w:color w:val="000000"/>
      <w:sz w:val="24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120" w:after="80" w:line="336" w:lineRule="auto"/>
      <w:ind w:firstLine="0"/>
      <w:jc w:val="left"/>
      <w:outlineLvl w:val="5"/>
    </w:pPr>
    <w:rPr>
      <w:rFonts w:asciiTheme="majorHAnsi" w:hAnsiTheme="majorHAnsi" w:eastAsiaTheme="majorEastAsia" w:cstheme="majorBidi"/>
      <w:b/>
      <w:i/>
      <w:iCs/>
      <w:color w:val="000000"/>
      <w:sz w:val="24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rPr>
      <w:rFonts w:ascii="Times New Roman" w:hAnsi="Times New Roman" w:eastAsia="宋体" w:cs="Times New Roman"/>
      <w:color w:val="000000"/>
      <w:sz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生升</cp:lastModifiedBy>
  <dcterms:modified xsi:type="dcterms:W3CDTF">2026-10-09T15:40:32Z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A05F59A9398F4FC0A35C3706FD52BD05_12</vt:lpwstr>
  </property>
</Properties>
</file>