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CEA现货采购保险及企业购售决策完整方案</w:t>
      </w:r>
    </w:p>
    <w:p>
      <w:pPr>
        <w:pStyle w:val="Subtitle"/>
      </w:pPr>
      <w:r>
        <w:t>模型建立 产品定价 承保限额 企业方案与智能体交互</w:t>
      </w:r>
    </w:p>
    <w:p>
      <w:pPr>
        <w:widowControl/>
      </w:pPr>
      <w:r>
        <w:rPr>
          <w:b w:val="0"/>
        </w:rPr>
        <w:t>研究日期 2026年10月9日</w:t>
        <w:br/>
        <w:t>行情截止 2026年9月30日</w:t>
        <w:br/>
        <w:t>面向 保险创新研究团队与企业碳资产管理人员</w:t>
      </w:r>
    </w:p>
    <w:p>
      <w:pPr>
        <w:pStyle w:val="Heading2"/>
      </w:pPr>
      <w:r>
        <w:t>方案摘要</w:t>
      </w:r>
    </w:p>
    <w:p>
      <w:pPr>
        <w:widowControl/>
      </w:pPr>
      <w:r>
        <w:rPr>
          <w:b w:val="0"/>
        </w:rPr>
        <w:t>本方案建立以CEA现货指数为依据的企业采购成本上涨保险。企业先申报真实未锁价采购缺口，再选择保障阶段、承保吨数、免赔价差、赔付比例和最高保障价差。智能体同时比较提前采购、部分投保与富余配额出售方案，帮助企业管理净成本、资金占用和不利价格情景。</w:t>
      </w:r>
    </w:p>
    <w:p>
      <w:pPr>
        <w:widowControl/>
      </w:pPr>
      <w:r>
        <w:rPr>
          <w:b w:val="0"/>
        </w:rPr>
        <w:t>本版统一采用最近60个收益率、5日循环区块重采样和100,000条价格路径，报价与企业决策共用同一组情景。候选条款为末5交易日均价结算、免赔max(2元/吨,2%预算价)、80%赔付以及预算价5%的最高保障价差。</w:t>
      </w:r>
    </w:p>
    <w:p>
      <w:pPr>
        <w:widowControl/>
      </w:pPr>
      <w:r>
        <w:rPr>
          <w:b/>
        </w:rPr>
        <w:t>每档1,000吨时，10、20、40、60交易日示范保费分别为645.58、1,055.25、1,472.29、1,687.47元，每档最高赔款3,798.64元。400、300、300吨分三阶段保障的示范总保费为1,396.11元。</w:t>
      </w:r>
    </w:p>
    <w:p>
      <w:pPr>
        <w:widowControl/>
      </w:pPr>
      <w:r>
        <w:rPr>
          <w:b w:val="0"/>
        </w:rPr>
        <w:t>历史回放发现基准模型在后段低估赔款，且企业实际资料与商业费用参数尚待核验。文中数值用于研究比较，不形成正式保险报价或当前市场交易指令。文档附181条实际使用的日行情，完整来源、计算结果和程序随数据包提供。</w:t>
      </w:r>
    </w:p>
    <w:p>
      <w:pPr>
        <w:pStyle w:val="Heading2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20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章节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主要内容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1至3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业务目标 数据与符号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4至5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价格模型与预测结果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6至10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保险责任 限额 定价及多阶段产品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11至12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历史回放与降低保费的条件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13至18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企业采购 投保与富余配额出售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19至21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智能体交互 期货辅助与实施顺序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附录</w:t>
            </w:r>
          </w:p>
        </w:tc>
        <w:tc>
          <w:tcPr>
            <w:tcW w:type="dxa" w:w="82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181条日行情 算法步骤与引用来源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 业务目标与产品结构</w:t>
      </w:r>
    </w:p>
    <w:p>
      <w:pPr>
        <w:pStyle w:val="Heading2"/>
      </w:pPr>
      <w:r>
        <w:t>1 1 企业采购保险的目标</w:t>
      </w:r>
    </w:p>
    <w:p>
      <w:pPr>
        <w:widowControl/>
      </w:pPr>
      <w:r>
        <w:rPr>
          <w:b w:val="0"/>
        </w:rPr>
        <w:t>企业年度排放量并不等于需要购买的配额量。产品保障尚未锁定价格的实际采购需求，赔款随约定现货指数上涨而增加，并受免赔、赔付比例和责任限额约束。企业在采购前安排保障；保障数量及利益在风险发生时仍需满足最终合同要求。</w:t>
      </w:r>
    </w:p>
    <w:p>
      <w:pPr>
        <w:pStyle w:val="Heading2"/>
      </w:pPr>
      <w:r>
        <w:t>1 2 产品结构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799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候选设计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保险对象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有经核验的未来CEA现货采购需求的企业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保险责任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约定阶段现货指数超过预算价与免赔价差后按公式赔付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期限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 20 40 60交易日单阶段 或多个采购阶段的主保单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指数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每阶段预先约定的末5个交易日收盘均价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数量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未锁价净需求 本次申请量 保险人批准容量共同约束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承保数量 × 每吨最高保障价差 × 赔付比例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企业决策</w:t>
            </w:r>
          </w:p>
        </w:tc>
        <w:tc>
          <w:tcPr>
            <w:tcW w:type="dxa" w:w="79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采购量和日期 部分投保量 富余配额出售条件</w:t>
            </w:r>
          </w:p>
        </w:tc>
      </w:tr>
    </w:tbl>
    <w:p>
      <w:pPr>
        <w:spacing w:after="20"/>
      </w:pPr>
    </w:p>
    <w:p>
      <w:pPr>
        <w:pStyle w:val="Heading2"/>
      </w:pPr>
      <w:r>
        <w:t>1 3 经济效果的评价</w:t>
      </w:r>
    </w:p>
    <w:p>
      <w:pPr>
        <w:widowControl/>
      </w:pPr>
      <w:r>
        <w:rPr>
          <w:b w:val="0"/>
        </w:rPr>
        <w:t>采购方案比较扣除赔款后的净支出，加入保费、交易费用及资金成本。出售方案比较净回款；需要取得成本等资料才能计算利润。保险可能提高平均净支出，同时降低不利情景中的成本，因此是否值得购买还取决于预算约束、现金紧张及经营损失。</w:t>
      </w:r>
    </w:p>
    <w:p>
      <w:pPr>
        <w:widowControl/>
      </w:pPr>
      <w:r>
        <w:rPr>
          <w:b w:val="0"/>
        </w:rPr>
        <w:t>企业可以买卖配额，同时承担足额清缴义务；全国交易规则对账户可交易量和可用资金设有约束。[S1][S2] 本方案在出售前预留履约量和安全缓冲，并检查配额年份、交付与可结转条件。</w:t>
      </w:r>
    </w:p>
    <w:p>
      <w:pPr>
        <w:pStyle w:val="Heading2"/>
      </w:pPr>
      <w:r>
        <w:t>1 4 方案的成熟度</w:t>
      </w:r>
    </w:p>
    <w:p>
      <w:pPr>
        <w:widowControl/>
      </w:pPr>
      <w:r>
        <w:rPr>
          <w:b w:val="0"/>
        </w:rPr>
        <w:t>价格情景、赔款函数、单阶段和多阶段数值求解、数量校验及企业策略枚举已形成计算原型。智能体界面、证据核验、统一数量台账及商业承保流程仍需接入。长期年度成本指数保险需要独立的数据与期限校准；本版数值聚焦短期CEA采购。</w:t>
      </w:r>
    </w:p>
    <w:p>
      <w:r>
        <w:br w:type="page"/>
      </w:r>
    </w:p>
    <w:p>
      <w:pPr>
        <w:pStyle w:val="Heading1"/>
      </w:pPr>
      <w:r>
        <w:t>2 数据来源与参数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6984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数据项目</w:t>
            </w:r>
          </w:p>
        </w:tc>
        <w:tc>
          <w:tcPr>
            <w:tcW w:type="dxa" w:w="6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本版数值或口径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研究使用行情</w:t>
            </w:r>
          </w:p>
        </w:tc>
        <w:tc>
          <w:tcPr>
            <w:tcW w:type="dxa" w:w="6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2026年1月5日至9月30日 连续181条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来源结构</w:t>
            </w:r>
          </w:p>
        </w:tc>
        <w:tc>
          <w:tcPr>
            <w:tcW w:type="dxa" w:w="6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149条官方日行情 32条转载行情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保留原始行情</w:t>
            </w:r>
          </w:p>
        </w:tc>
        <w:tc>
          <w:tcPr>
            <w:tcW w:type="dxa" w:w="6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共895条 含日期 来源网址与质量标记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最后单日收盘</w:t>
            </w:r>
          </w:p>
        </w:tc>
        <w:tc>
          <w:tcPr>
            <w:tcW w:type="dxa" w:w="6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94.96元/吨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2026年样本最低及最高</w:t>
            </w:r>
          </w:p>
        </w:tc>
        <w:tc>
          <w:tcPr>
            <w:tcW w:type="dxa" w:w="6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72.50元/吨 99.69元/吨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最近60日对数收益均值</w:t>
            </w:r>
          </w:p>
        </w:tc>
        <w:tc>
          <w:tcPr>
            <w:tcW w:type="dxa" w:w="6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0.00158219 每交易日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最近60日收益标准差</w:t>
            </w:r>
          </w:p>
        </w:tc>
        <w:tc>
          <w:tcPr>
            <w:tcW w:type="dxa" w:w="6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0.00804875 每交易日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模拟配置</w:t>
            </w:r>
          </w:p>
        </w:tc>
        <w:tc>
          <w:tcPr>
            <w:tcW w:type="dxa" w:w="6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60收益率 5日区块 100,000条60日路径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统一随机种子</w:t>
            </w:r>
          </w:p>
        </w:tc>
        <w:tc>
          <w:tcPr>
            <w:tcW w:type="dxa" w:w="6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2026100903 共享路径用于预测 定价与企业方案</w:t>
            </w:r>
          </w:p>
        </w:tc>
      </w:tr>
    </w:tbl>
    <w:p>
      <w:pPr>
        <w:spacing w:after="20"/>
      </w:pPr>
    </w:p>
    <w:p>
      <w:pPr>
        <w:pStyle w:val="Heading2"/>
      </w:pPr>
      <w:r>
        <w:t>2 1 预算价所用的五条数据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896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收盘价 元每吨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2026-09-23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95.20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2026-09-24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94.99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2026-09-28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94.80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2026-09-29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94.88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2026-09-30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94.96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五条价格均为研究起点之前已知的交易日数据，算术均值为94.966元/吨。9月25日及国庆等休市日不作交易日收益计算。181条价格附于附录，来源网址和质量标记保留于数据文件。</w:t>
      </w:r>
    </w:p>
    <w:p>
      <w:pPr>
        <w:pStyle w:val="Heading2"/>
      </w:pPr>
      <w:r>
        <w:t>2 2 使用与核验要求</w:t>
      </w:r>
    </w:p>
    <w:p>
      <w:pPr>
        <w:widowControl/>
      </w:pPr>
      <w:r>
        <w:rPr>
          <w:b w:val="0"/>
        </w:rPr>
        <w:t>只使用连续2026年样本进行当前模拟，避免把早期长期缺口当作每日收益。转载记录尚非全部逐日完成官方交叉验证，正式报价需刷新至报价时点并核验数据。交易日历沿用已有2026年安排，换起点或跨年份时重新检查。</w:t>
      </w:r>
    </w:p>
    <w:p>
      <w:pPr>
        <w:widowControl/>
      </w:pPr>
      <w:r>
        <w:rPr>
          <w:b w:val="0"/>
        </w:rPr>
        <w:t>本报告研究日期为10月9日，报价起点仍为9月30日，不含10月8日或9日的新行情。价格区间是模型分位范围，不是对真实覆盖概率已经校准的承诺。</w:t>
      </w:r>
    </w:p>
    <w:p>
      <w:r>
        <w:br w:type="page"/>
      </w:r>
    </w:p>
    <w:p>
      <w:pPr>
        <w:pStyle w:val="Heading1"/>
      </w:pPr>
      <w:r>
        <w:t>3 符号与单位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5688"/>
        <w:gridCol w:w="1872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符号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单位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Sₜ P实际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现货指数 实际执行价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元/吨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h Tᵢ τᵢ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交易日期限 阶段日期 日历年数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交易日 日期 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R H C B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履约需求 可用资源 锁价采购 已分配需求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D q申请 q容量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净未锁价需求 申请量 保险人容量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Q Qᵢ Q保险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承保数量 阶段数量 企业投保量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K d c η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预算价 免赔价差 最高价差 赔付比例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元/吨 元/吨 元/吨 比例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Xᵢ Lᵢ Aᵢ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阶段指数 阶段赔款 最高赔款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元/吨 元 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rⱼ zⱼ w b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对数收益 去均值收益 窗口 区块长度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无量纲 无量纲 60 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M μ TVaRα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路径数 期望赔款 上尾平均赔款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100,000 元 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r k v p F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折现率 资本成本率 费用率 利润率 固定费用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年率 年率 比例 比例 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Π纯 Π EC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折现纯保费 总保费 资本代理量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q₀ θ α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提前买入量 总缺口覆盖率 剩余采购覆盖率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吨 比例 比例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I bₜ sₜ R安全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库存 买入量 卖出量 履约及缓冲预留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C净 N λ</w:t>
            </w:r>
          </w:p>
        </w:tc>
        <w:tc>
          <w:tcPr>
            <w:tcW w:type="dxa" w:w="56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企业净成本 出售净回款 风险权重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元 元 无量纲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c表示免赔后最高纳入赔付的每吨价差。赔款上沿为K+d+c，不能将c=5%K理解为所有高于预算价5%的涨幅都已覆盖。α在企业决策中表示数量比例；尾部概率水平以具体95%或99.5%标注，避免混淆。</w:t>
      </w:r>
    </w:p>
    <w:p>
      <w:r>
        <w:br w:type="page"/>
      </w:r>
    </w:p>
    <w:p>
      <w:pPr>
        <w:pStyle w:val="Heading1"/>
      </w:pPr>
      <w:r>
        <w:t>4 CEA价格情景模型</w:t>
      </w:r>
    </w:p>
    <w:p>
      <w:pPr>
        <w:pStyle w:val="Heading2"/>
      </w:pPr>
      <w:r>
        <w:t>4 1 收益率与中心化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r</m:t>
            </m:r>
          </m:e>
          <m:sub>
            <m:r>
              <m:t xml:space="preserve">j</m:t>
            </m:r>
          </m:sub>
        </m:sSub>
        <m:r>
          <m:t xml:space="preserve">=</m:t>
        </m:r>
        <m:func>
          <m:fName>
            <m:r>
              <m:rPr>
                <m:sty m:val="p"/>
              </m:rPr>
              <m:t xml:space="preserve">ln</m:t>
            </m:r>
          </m:fName>
          <m:e>
            <m:d>
              <m:dPr>
                <m:begChr m:val="("/>
                <m:endChr m:val=")"/>
              </m:dPr>
              <m:e>
                <m:f>
                  <m:num>
                    <m:sSub>
                      <m:e>
                        <m:r>
                          <m:t xml:space="preserve">S</m:t>
                        </m:r>
                      </m:e>
                      <m:sub>
                        <m:r>
                          <m:t xml:space="preserve">j</m:t>
                        </m:r>
                      </m:sub>
                    </m:sSub>
                  </m:num>
                  <m:den>
                    <m:sSub>
                      <m:e>
                        <m:r>
                          <m:t xml:space="preserve">S</m:t>
                        </m:r>
                      </m:e>
                      <m:sub>
                        <m:r>
                          <m:t xml:space="preserve">j−1</m:t>
                        </m:r>
                      </m:sub>
                    </m:sSub>
                  </m:den>
                </m:f>
              </m:e>
            </m:d>
          </m:e>
        </m:func>
      </m:oMath>
      <w:r>
        <w:rPr>
          <w:sz w:val="18"/>
        </w:rPr>
        <w:tab/>
        <w:t>（1）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r</m:t>
            </m:r>
          </m:e>
          <m:sub>
            <m:r>
              <m:t xml:space="preserve">mean</m:t>
            </m:r>
          </m:sub>
        </m:sSub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60</m:t>
            </m:r>
          </m:den>
        </m:f>
        <m:nary>
          <m:naryPr>
            <m:chr m:val="∑"/>
            <m:limLoc m:val="undOvr"/>
          </m:naryPr>
          <m:sub>
            <m:r>
              <m:t xml:space="preserve">j=1</m:t>
            </m:r>
          </m:sub>
          <m:sup>
            <m:r>
              <m:t xml:space="preserve">60</m:t>
            </m:r>
          </m:sup>
          <m:e>
            <m:sSub>
              <m:e>
                <m:r>
                  <m:t xml:space="preserve">r</m:t>
                </m:r>
              </m:e>
              <m:sub>
                <m:r>
                  <m:t xml:space="preserve">j</m:t>
                </m:r>
              </m:sub>
            </m:sSub>
          </m:e>
        </m:nary>
        <m:r>
          <m:t xml:space="preserve">,  </m:t>
        </m:r>
        <m:sSub>
          <m:e>
            <m:r>
              <m:t xml:space="preserve">z</m:t>
            </m:r>
          </m:e>
          <m:sub>
            <m:r>
              <m:t xml:space="preserve">j</m:t>
            </m:r>
          </m:sub>
        </m:sSub>
        <m:r>
          <m:t xml:space="preserve">=</m:t>
        </m:r>
        <m:sSub>
          <m:e>
            <m:r>
              <m:t xml:space="preserve">r</m:t>
            </m:r>
          </m:e>
          <m:sub>
            <m:r>
              <m:t xml:space="preserve">j</m:t>
            </m:r>
          </m:sub>
        </m:sSub>
        <m:r>
          <m:t xml:space="preserve">−</m:t>
        </m:r>
        <m:sSub>
          <m:e>
            <m:r>
              <m:t xml:space="preserve">r</m:t>
            </m:r>
          </m:e>
          <m:sub>
            <m:r>
              <m:t xml:space="preserve">mean</m:t>
            </m:r>
          </m:sub>
        </m:sSub>
      </m:oMath>
      <w:r>
        <w:rPr>
          <w:sz w:val="18"/>
        </w:rPr>
        <w:tab/>
        <w:t>（2）</w:t>
      </w:r>
    </w:p>
    <w:p>
      <w:pPr>
        <w:widowControl/>
      </w:pPr>
      <w:r>
        <w:rPr>
          <w:b w:val="0"/>
        </w:rPr>
        <w:t>每个起点只读取当时已知的61个收盘价。去均值移除窗口平均对数漂移，保留短期波动。对数漂移为零时，价格算术均值仍可能因指数变换而略高于起点价；该过程不等于市场风险中性定价。</w:t>
      </w:r>
    </w:p>
    <w:p>
      <w:pPr>
        <w:pStyle w:val="Heading2"/>
      </w:pPr>
      <w:r>
        <w:t>4 2 循环区块重采样</w:t>
      </w:r>
    </w:p>
    <w:p>
      <w:pPr>
        <w:tabs>
          <w:tab w:pos="9576" w:val="right"/>
        </w:tabs>
        <w:spacing w:before="60" w:after="140"/>
        <w:ind w:left="115"/>
      </w:pPr>
      <m:oMath>
        <m:sSup>
          <m:e>
            <m:sSub>
              <m:e>
                <m:r>
                  <m:t xml:space="preserve">r</m:t>
                </m:r>
              </m:e>
              <m:sub>
                <m:r>
                  <m:t xml:space="preserve">m,t</m:t>
                </m:r>
              </m:sub>
            </m:sSub>
          </m:e>
          <m:sup>
            <m:r>
              <m:t xml:space="preserve">*</m:t>
            </m:r>
          </m:sup>
        </m:sSup>
        <m:r>
          <m:t xml:space="preserve">=</m:t>
        </m:r>
        <m:sSub>
          <m:e>
            <m:r>
              <m:t xml:space="preserve">z</m:t>
            </m:r>
          </m:e>
          <m:sub>
            <m:r>
              <m:t xml:space="preserve">(</m:t>
            </m:r>
            <m:sSub>
              <m:e>
                <m:r>
                  <m:t xml:space="preserve">J</m:t>
                </m:r>
              </m:e>
              <m:sub>
                <m:r>
                  <m:t xml:space="preserve">m,b</m:t>
                </m:r>
              </m:sub>
            </m:sSub>
            <m:r>
              <m:t xml:space="preserve">+j) mod 60</m:t>
            </m:r>
          </m:sub>
        </m:sSub>
      </m:oMath>
      <w:r>
        <w:rPr>
          <w:sz w:val="18"/>
        </w:rPr>
        <w:tab/>
        <w:t>（3）</w:t>
      </w:r>
    </w:p>
    <w:p>
      <w:pPr>
        <w:tabs>
          <w:tab w:pos="9576" w:val="right"/>
        </w:tabs>
        <w:spacing w:before="60" w:after="140"/>
        <w:ind w:left="115"/>
      </w:pPr>
      <m:oMath>
        <m:sSup>
          <m:e>
            <m:sSub>
              <m:e>
                <m:r>
                  <m:t xml:space="preserve">S</m:t>
                </m:r>
              </m:e>
              <m:sub>
                <m:r>
                  <m:t xml:space="preserve">m,t</m:t>
                </m:r>
              </m:sub>
            </m:sSub>
          </m:e>
          <m:sup>
            <m:r>
              <m:t xml:space="preserve">*</m:t>
            </m:r>
          </m:sup>
        </m:sSup>
        <m:r>
          <m:t xml:space="preserve">=</m:t>
        </m:r>
        <m:sSub>
          <m:e>
            <m:r>
              <m:t xml:space="preserve">S</m:t>
            </m:r>
          </m:e>
          <m:sub>
            <m:r>
              <m:t xml:space="preserve">0</m:t>
            </m:r>
          </m:sub>
        </m:sSub>
        <m:func>
          <m:fName>
            <m:r>
              <m:rPr>
                <m:sty m:val="p"/>
              </m:rPr>
              <m:t xml:space="preserve">exp</m:t>
            </m:r>
          </m:fName>
          <m:e>
            <m:d>
              <m:dPr>
                <m:begChr m:val="("/>
                <m:endChr m:val=")"/>
              </m:dPr>
              <m:e>
                <m:nary>
                  <m:naryPr>
                    <m:chr m:val="∑"/>
                    <m:limLoc m:val="undOvr"/>
                  </m:naryPr>
                  <m:sub>
                    <m:r>
                      <m:t xml:space="preserve">u=1</m:t>
                    </m:r>
                  </m:sub>
                  <m:sup>
                    <m:r>
                      <m:t xml:space="preserve">t</m:t>
                    </m:r>
                  </m:sup>
                  <m:e>
                    <m:sSup>
                      <m:e>
                        <m:sSub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m,u</m:t>
                            </m:r>
                          </m:sub>
                        </m:sSub>
                      </m:e>
                      <m:sup>
                        <m:r>
                          <m:t xml:space="preserve">*</m:t>
                        </m:r>
                      </m:sup>
                    </m:sSup>
                  </m:e>
                </m:nary>
              </m:e>
            </m:d>
          </m:e>
        </m:func>
      </m:oMath>
      <w:r>
        <w:rPr>
          <w:sz w:val="18"/>
        </w:rPr>
        <w:tab/>
        <w:t>（4）</w:t>
      </w:r>
    </w:p>
    <w:p>
      <w:pPr>
        <w:widowControl/>
      </w:pPr>
      <w:r>
        <w:rPr>
          <w:b w:val="0"/>
        </w:rPr>
        <w:t>每条路径抽取12个区块起点，每块连续读取5个中心化收益；越过样本末尾时循环回头，得到60个未来交易日。不同期限使用同一路径前缀，多阶段保持共同价格因子。循环连接属于研究近似，区块长度尚未完成寻优。</w:t>
      </w:r>
    </w:p>
    <w:p>
      <w:pPr>
        <w:pStyle w:val="Heading2"/>
      </w:pPr>
      <w:r>
        <w:t>4 3 候选模型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r</m:t>
            </m:r>
          </m:e>
          <m:sub>
            <m:r>
              <m:t xml:space="preserve">drift</m:t>
            </m:r>
          </m:sub>
        </m:sSub>
        <m:r>
          <m:t xml:space="preserve">*=z+</m:t>
        </m:r>
        <m:r>
          <m:t xml:space="preserve">0.25</m:t>
        </m:r>
        <m:sSub>
          <m:e>
            <m:r>
              <m:t xml:space="preserve">r</m:t>
            </m:r>
          </m:e>
          <m:sub>
            <m:r>
              <m:t xml:space="preserve">mean</m:t>
            </m:r>
          </m:sub>
        </m:sSub>
      </m:oMath>
      <w:r>
        <w:rPr>
          <w:sz w:val="18"/>
        </w:rPr>
        <w:tab/>
        <w:t>（5）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a=</m:t>
        </m:r>
        <m:func>
          <m:fName>
            <m:r>
              <m:rPr>
                <m:sty m:val="p"/>
              </m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t xml:space="preserve">2,</m:t>
                </m:r>
                <m:func>
                  <m:fName>
                    <m:r>
                      <m:rPr>
                        <m:sty m:val="p"/>
                      </m:rPr>
                      <m:t xml:space="preserve">max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0.5,</m:t>
                        </m:r>
                        <m:f>
                          <m:num>
                            <m:sSub>
                              <m:e>
                                <m:r>
                                  <m:t xml:space="preserve">σ</m:t>
                                </m:r>
                              </m:e>
                              <m:sub>
                                <m:r>
                                  <m:t xml:space="preserve">20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 xml:space="preserve">σ</m:t>
                                </m:r>
                              </m:e>
                              <m:sub>
                                <m:r>
                                  <m:t xml:space="preserve">60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</m:e>
            </m:d>
          </m:e>
        </m:func>
        <m:r>
          <m:t xml:space="preserve">,  </m:t>
        </m:r>
        <m:sSub>
          <m:e>
            <m:r>
              <m:t xml:space="preserve">r</m:t>
            </m:r>
          </m:e>
          <m:sub>
            <m:r>
              <m:t xml:space="preserve">vol</m:t>
            </m:r>
          </m:sub>
        </m:sSub>
        <m:r>
          <m:t xml:space="preserve">*=az</m:t>
        </m:r>
      </m:oMath>
      <w:r>
        <w:rPr>
          <w:sz w:val="18"/>
        </w:rPr>
        <w:tab/>
        <w:t>（6）</w:t>
      </w:r>
    </w:p>
    <w:p>
      <w:pPr>
        <w:widowControl/>
      </w:pPr>
      <w:r>
        <w:rPr>
          <w:b w:val="0"/>
        </w:rPr>
        <w:t>25%的收缩和0.5至2的缩放边界是实验设定。基准、漂移及波动三个模型采用相同随机区块起点。它们用于模型比较与企业策略敏感性，尚未证明能够稳定提高预测表现。</w:t>
      </w:r>
    </w:p>
    <w:p>
      <w:r>
        <w:br w:type="page"/>
      </w:r>
    </w:p>
    <w:p>
      <w:pPr>
        <w:pStyle w:val="Heading1"/>
      </w:pPr>
      <w:r>
        <w:t>5 价格预测与求解步骤</w:t>
      </w:r>
    </w:p>
    <w:p>
      <w:pPr>
        <w:pStyle w:val="Heading2"/>
      </w:pPr>
      <w:r>
        <w:t>5 1 阶段末五日均价预测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2016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交易日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截止日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均值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P10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中位数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P90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2026-10-21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94.99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91.87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94.84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98.46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2026-11-04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95.05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89.82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94.96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100.47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2026-12-02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95.14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87.38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94.95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103.10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2026-12-30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95.23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85.62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94.94</w:t>
            </w:r>
          </w:p>
        </w:tc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105.18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单位为元/吨。P10至P90是模型中间80%情景区间。该表是末5日平均价格的分布，保险赔款必须逐条路径先计算，不能把平均价格直接代入非线性赔款函数。</w:t>
      </w:r>
    </w:p>
    <w:p>
      <w:pPr>
        <w:pStyle w:val="Heading2"/>
      </w:pPr>
      <w:r>
        <w:t>5 2 期末单日价格预测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交易日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均值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P10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中位数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P90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95.00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91.25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94.76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99.04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95.06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89.39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94.97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100.88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95.15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87.13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94.95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103.41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95.24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85.36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94.93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105.43</w:t>
            </w:r>
          </w:p>
        </w:tc>
      </w:tr>
    </w:tbl>
    <w:p>
      <w:pPr>
        <w:spacing w:after="20"/>
      </w:pPr>
    </w:p>
    <w:p>
      <w:pPr>
        <w:pStyle w:val="Heading2"/>
      </w:pPr>
      <w:r>
        <w:t>5 3 求解顺序</w:t>
      </w:r>
    </w:p>
    <w:p>
      <w:pPr>
        <w:widowControl/>
      </w:pPr>
      <w:r>
        <w:rPr>
          <w:b w:val="0"/>
        </w:rPr>
        <w:t>1. 读取连续行情和来源标记，确定起点及交易日历。</w:t>
      </w:r>
    </w:p>
    <w:p>
      <w:pPr>
        <w:widowControl/>
      </w:pPr>
      <w:r>
        <w:rPr>
          <w:b w:val="0"/>
        </w:rPr>
        <w:t>2. 构造60个收益率、中心化收益和候选模型参数。</w:t>
      </w:r>
    </w:p>
    <w:p>
      <w:pPr>
        <w:widowControl/>
      </w:pPr>
      <w:r>
        <w:rPr>
          <w:b w:val="0"/>
        </w:rPr>
        <w:t>3. 固定种子2026100903，生成三组100,000条60日路径。</w:t>
      </w:r>
    </w:p>
    <w:p>
      <w:pPr>
        <w:widowControl/>
      </w:pPr>
      <w:r>
        <w:rPr>
          <w:b w:val="0"/>
        </w:rPr>
        <w:t>4. 按10、20、40、60日截取末5日价格，计算阶段指数。</w:t>
      </w:r>
    </w:p>
    <w:p>
      <w:pPr>
        <w:widowControl/>
      </w:pPr>
      <w:r>
        <w:rPr>
          <w:b w:val="0"/>
        </w:rPr>
        <w:t>5. 逐路径计算赔款，再汇总纯保费、尾部资本和总保费。</w:t>
      </w:r>
    </w:p>
    <w:p>
      <w:pPr>
        <w:widowControl/>
      </w:pPr>
      <w:r>
        <w:rPr>
          <w:b w:val="0"/>
        </w:rPr>
        <w:t>6. 使用同一价格路径比较企业采购及出售规则，筛选符合预算的方案。</w:t>
      </w:r>
    </w:p>
    <w:p>
      <w:pPr>
        <w:widowControl/>
      </w:pPr>
      <w:r>
        <w:rPr>
          <w:b w:val="0"/>
        </w:rPr>
        <w:t>不能通过读取未来最高价选择买卖日期。20日预测分位较此前略有变化，原因是本版统一了模拟路径与种子；这种变化不能解释为增加了新行情或提升了模型质量。</w:t>
      </w:r>
    </w:p>
    <w:p>
      <w:r>
        <w:br w:type="page"/>
      </w:r>
    </w:p>
    <w:p>
      <w:pPr>
        <w:pStyle w:val="Heading1"/>
      </w:pPr>
      <w:r>
        <w:t>6 保险责任与价格标准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K=</m:t>
        </m:r>
        <m:f>
          <m:num>
            <m:r>
              <m:t xml:space="preserve">1</m:t>
            </m:r>
          </m:num>
          <m:den>
            <m:r>
              <m:t xml:space="preserve">5</m:t>
            </m:r>
          </m:den>
        </m:f>
        <m:nary>
          <m:naryPr>
            <m:chr m:val="∑"/>
            <m:limLoc m:val="undOvr"/>
          </m:naryPr>
          <m:sub>
            <m:r>
              <m:t xml:space="preserve">j=0</m:t>
            </m:r>
          </m:sub>
          <m:sup>
            <m:r>
              <m:t xml:space="preserve">4</m:t>
            </m:r>
          </m:sup>
          <m:e>
            <m:sSub>
              <m:e>
                <m:r>
                  <m:t xml:space="preserve">S</m:t>
                </m:r>
              </m:e>
              <m:sub>
                <m:r>
                  <m:t xml:space="preserve">t₀−j</m:t>
                </m:r>
              </m:sub>
            </m:sSub>
          </m:e>
        </m:nary>
      </m:oMath>
      <w:r>
        <w:rPr>
          <w:sz w:val="18"/>
        </w:rPr>
        <w:tab/>
        <w:t>（7）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d=</m:t>
        </m:r>
        <m:func>
          <m:fName>
            <m:r>
              <m:rPr>
                <m:sty m:val="p"/>
              </m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t xml:space="preserve">2,0.02K</m:t>
                </m:r>
              </m:e>
            </m:d>
          </m:e>
        </m:func>
        <m:r>
          <m:t xml:space="preserve">,  c=0.05K,  η=0.8</m:t>
        </m:r>
      </m:oMath>
      <w:r>
        <w:rPr>
          <w:sz w:val="18"/>
        </w:rPr>
        <w:tab/>
        <w:t>（8）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5</m:t>
            </m:r>
          </m:den>
        </m:f>
        <m:nary>
          <m:naryPr>
            <m:chr m:val="∑"/>
            <m:limLoc m:val="undOvr"/>
          </m:naryPr>
          <m:sub>
            <m:r>
              <m:t xml:space="preserve">j=0</m:t>
            </m:r>
          </m:sub>
          <m:sup>
            <m:r>
              <m:t xml:space="preserve">4</m:t>
            </m:r>
          </m:sup>
          <m:e>
            <m:sSub>
              <m:e>
                <m:r>
                  <m:t xml:space="preserve">S</m:t>
                </m:r>
              </m:e>
              <m:sub>
                <m:r>
                  <m:t xml:space="preserve">Tᵢ−j</m:t>
                </m:r>
              </m:sub>
            </m:sSub>
          </m:e>
        </m:nary>
      </m:oMath>
      <w:r>
        <w:rPr>
          <w:sz w:val="18"/>
        </w:rPr>
        <w:tab/>
        <w:t>（9）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L</m:t>
            </m:r>
          </m:e>
          <m:sub>
            <m:r>
              <m:t xml:space="preserve">i</m:t>
            </m:r>
          </m:sub>
        </m:sSub>
        <m:r>
          <m:t xml:space="preserve">=η</m:t>
        </m:r>
        <m:sSub>
          <m:e>
            <m:r>
              <m:t xml:space="preserve">Q</m:t>
            </m:r>
          </m:e>
          <m:sub>
            <m:r>
              <m:t xml:space="preserve">i</m:t>
            </m:r>
          </m:sub>
        </m:sSub>
        <m:func>
          <m:fName>
            <m:r>
              <m:rPr>
                <m:sty m:val="p"/>
              </m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func>
                  <m:fName>
                    <m:r>
                      <m:rPr>
                        <m:sty m:val="p"/>
                      </m:rPr>
                      <m:t xml:space="preserve">max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i</m:t>
                            </m:r>
                          </m:sub>
                        </m:sSub>
                        <m:r>
                          <m:t xml:space="preserve">−</m:t>
                        </m:r>
                        <m:sSub>
                          <m:e>
                            <m:r>
                              <m:t xml:space="preserve">K</m:t>
                            </m:r>
                          </m:e>
                          <m:sub>
                            <m:r>
                              <m:t xml:space="preserve">i</m:t>
                            </m:r>
                          </m:sub>
                        </m:sSub>
                        <m:r>
                          <m:t xml:space="preserve">−</m:t>
                        </m:r>
                        <m:sSub>
                          <m:e>
                            <m:r>
                              <m:t xml:space="preserve">d</m:t>
                            </m:r>
                          </m:e>
                          <m:sub>
                            <m:r>
                              <m:t xml:space="preserve">i</m:t>
                            </m:r>
                          </m:sub>
                        </m:sSub>
                        <m:r>
                          <m:t xml:space="preserve">,0</m:t>
                        </m:r>
                      </m:e>
                    </m:d>
                  </m:e>
                </m:func>
                <m:r>
                  <m:t xml:space="preserve">,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i</m:t>
                    </m:r>
                  </m:sub>
                </m:sSub>
              </m:e>
            </m:d>
          </m:e>
        </m:func>
      </m:oMath>
      <w:r>
        <w:rPr>
          <w:sz w:val="18"/>
        </w:rPr>
        <w:tab/>
        <w:t>（10）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=η</m:t>
        </m:r>
        <m:sSub>
          <m:e>
            <m:r>
              <m:t xml:space="preserve">Q</m:t>
            </m:r>
          </m:e>
          <m:sub>
            <m:r>
              <m:t xml:space="preserve">i</m:t>
            </m:r>
          </m:sub>
        </m:sSub>
        <m:sSub>
          <m:e>
            <m:r>
              <m:t xml:space="preserve">c</m:t>
            </m:r>
          </m:e>
          <m:sub>
            <m:r>
              <m:t xml:space="preserve">i</m:t>
            </m:r>
          </m:sub>
        </m:sSub>
      </m:oMath>
      <w:r>
        <w:rPr>
          <w:sz w:val="18"/>
        </w:rPr>
        <w:tab/>
        <w:t>（11）</w:t>
      </w:r>
    </w:p>
    <w:p>
      <w:pPr>
        <w:widowControl/>
      </w:pPr>
      <w:r>
        <w:rPr>
          <w:b w:val="0"/>
        </w:rPr>
        <w:t>K=94.966、d=2、c=4.7483元/吨。触发价格96.966元/吨，达到最高赔款的价格101.7143元/吨。价格超过上沿后仍赔付封顶金额。企业承担免赔、20%共保和超出最高保障价差的成本。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11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阶段指数 元每吨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1,000吨赔款 元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95.00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98.00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827.20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100.00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2,427.20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101.7143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3,798.64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105.00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3,798.64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阶段末均价一次结算，每日收盘价用于组成指数。每天越界不形成对同一吨的重复赔款。公开碳保险条款有预先约定采价窗口及交易日均价的设计可参考；其欧盟期货指数与金额结构应与本方案分别处理。[S3]</w:t>
      </w:r>
    </w:p>
    <w:p>
      <w:r>
        <w:br w:type="page"/>
      </w:r>
    </w:p>
    <w:p>
      <w:pPr>
        <w:pStyle w:val="Heading1"/>
      </w:pPr>
      <w:r>
        <w:t>7 企业承保数量与金额限额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D=</m:t>
        </m:r>
        <m:func>
          <m:fName>
            <m:r>
              <m:rPr>
                <m:sty m:val="p"/>
              </m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t xml:space="preserve">R−H−C−B,0</m:t>
                </m:r>
              </m:e>
            </m:d>
          </m:e>
        </m:func>
      </m:oMath>
      <w:r>
        <w:rPr>
          <w:sz w:val="18"/>
        </w:rPr>
        <w:tab/>
        <w:t>（12）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Q=</m:t>
        </m:r>
        <m:func>
          <m:fName>
            <m:r>
              <m:rPr>
                <m:sty m:val="p"/>
              </m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t xml:space="preserve">D,</m:t>
                </m:r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req</m:t>
                    </m:r>
                  </m:sub>
                </m:sSub>
                <m:r>
                  <m:t xml:space="preserve">,</m:t>
                </m:r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cap</m:t>
                    </m:r>
                  </m:sub>
                </m:sSub>
              </m:e>
            </m:d>
          </m:e>
        </m:func>
      </m:oMath>
      <w:r>
        <w:rPr>
          <w:sz w:val="18"/>
        </w:rPr>
        <w:tab/>
        <w:t>（13）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q</m:t>
            </m:r>
          </m:e>
          <m:sub>
            <m:r>
              <m:t xml:space="preserve">cap,amount</m:t>
            </m:r>
          </m:sub>
        </m:sSub>
        <m:r>
          <m:t xml:space="preserve">=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cap</m:t>
                </m:r>
              </m:sub>
            </m:sSub>
          </m:num>
          <m:den>
            <m:r>
              <m:t xml:space="preserve">ηc</m:t>
            </m:r>
          </m:den>
        </m:f>
      </m:oMath>
      <w:r>
        <w:rPr>
          <w:sz w:val="18"/>
        </w:rPr>
        <w:tab/>
        <w:t>（14）</w:t>
      </w:r>
    </w:p>
    <w:p>
      <w:pPr>
        <w:widowControl/>
      </w:pPr>
      <w:r>
        <w:rPr>
          <w:b w:val="0"/>
        </w:rPr>
        <w:t>R为目标年度履约需求；H为合法可用资源；C为未计入H、已锁价且可按期交付的采购；B为未锁价需求中已分配给其他阶段、有效保险或待确认申请的数量。获配与库存去重，同一吨不重复扣减。保险人容量需考虑组合集中度、流动性及资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输入或状态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资料缺失或不清楚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保留未知 列出待补字段 不生成正式额度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申请量高于净需求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提示调整申请或核验需求 不静默缩减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容量低于申请量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展示容量约束及暂定量 企业确认后推进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净需求为零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不生成未来采购保障额度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多阶段或多保单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统一企业与年度台账 预占并去重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行业类型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选择核算 核验与风险分组资料 不直接推定额度</w:t>
            </w:r>
          </w:p>
        </w:tc>
      </w:tr>
    </w:tbl>
    <w:p>
      <w:pPr>
        <w:spacing w:after="20"/>
      </w:pPr>
    </w:p>
    <w:p>
      <w:pPr>
        <w:pStyle w:val="Heading2"/>
      </w:pPr>
      <w:r>
        <w:t>7 1 演示企业额度</w:t>
      </w:r>
    </w:p>
    <w:p>
      <w:pPr>
        <w:widowControl/>
      </w:pPr>
      <w:r>
        <w:rPr>
          <w:b w:val="0"/>
        </w:rPr>
        <w:t>演示履约需求100万吨、可用资源98万吨、未计入资源的锁价采购1万吨、已分配需求0吨，净需求为1万吨。申请1万吨且假设批准容量1万吨，暂定承保量1万吨。该示例没有真实企业证据，不代表已批准商业容量。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11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承保数量示例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候选最高赔款 元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1,000吨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3,798.64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10,000吨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37,986.40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50,000吨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189,932.00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最高赔款随Q、c、η共同变化。单次承保数量不限制企业实际采购；每阶段分配量之和仍须满足未锁价净需求约束。</w:t>
      </w:r>
    </w:p>
    <w:p>
      <w:r>
        <w:br w:type="page"/>
      </w:r>
    </w:p>
    <w:p>
      <w:pPr>
        <w:pStyle w:val="Heading1"/>
      </w:pPr>
      <w:r>
        <w:t>8 纯保费与总保费计算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μ=</m:t>
        </m:r>
        <m:f>
          <m:num>
            <m:r>
              <m:t xml:space="preserve">1</m:t>
            </m:r>
          </m:num>
          <m:den>
            <m:r>
              <m:t xml:space="preserve">M</m:t>
            </m:r>
          </m:den>
        </m:f>
        <m:nary>
          <m:naryPr>
            <m:chr m:val="∑"/>
            <m:limLoc m:val="undOvr"/>
          </m:naryPr>
          <m:sub>
            <m:r>
              <m:t xml:space="preserve">m=1</m:t>
            </m:r>
          </m:sub>
          <m:sup>
            <m:r>
              <m:t xml:space="preserve">M</m:t>
            </m:r>
          </m:sup>
          <m:e>
            <m:sSub>
              <m:e>
                <m:r>
                  <m:t xml:space="preserve">L</m:t>
                </m:r>
              </m:e>
              <m:sub>
                <m:r>
                  <m:t xml:space="preserve">m</m:t>
                </m:r>
              </m:sub>
            </m:sSub>
          </m:e>
        </m:nary>
        <m:r>
          <m:t xml:space="preserve">,  </m:t>
        </m:r>
        <m:sSub>
          <m:e>
            <m:r>
              <m:t xml:space="preserve">Π</m:t>
            </m:r>
          </m:e>
          <m:sub>
            <m:r>
              <m:t xml:space="preserve">pure</m:t>
            </m:r>
          </m:sub>
        </m:sSub>
        <m:r>
          <m:t xml:space="preserve">=</m:t>
        </m:r>
        <m:func>
          <m:fName>
            <m:r>
              <m:rPr>
                <m:sty m:val="p"/>
              </m:rPr>
              <m:t xml:space="preserve">exp</m:t>
            </m:r>
          </m:fName>
          <m:e>
            <m:d>
              <m:dPr>
                <m:begChr m:val="("/>
                <m:endChr m:val=")"/>
              </m:dPr>
              <m:e>
                <m:r>
                  <m:t xml:space="preserve">−rτ</m:t>
                </m:r>
              </m:e>
            </m:d>
          </m:e>
        </m:func>
        <m:r>
          <m:t xml:space="preserve">μ</m:t>
        </m:r>
      </m:oMath>
      <w:r>
        <w:rPr>
          <w:sz w:val="18"/>
        </w:rPr>
        <w:tab/>
        <w:t>（15）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TVaR</m:t>
            </m:r>
          </m:e>
          <m:sub>
            <m:r>
              <m:t xml:space="preserve">99.5%</m:t>
            </m:r>
          </m:sub>
        </m:sSub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500</m:t>
            </m:r>
          </m:den>
        </m:f>
        <m:nary>
          <m:naryPr>
            <m:chr m:val="∑"/>
            <m:limLoc m:val="undOvr"/>
          </m:naryPr>
          <m:sub>
            <m:r>
              <m:t xml:space="preserve">j=M−499</m:t>
            </m:r>
          </m:sub>
          <m:sup>
            <m:r>
              <m:t xml:space="preserve">M</m:t>
            </m:r>
          </m:sup>
          <m:e>
            <m:sSub>
              <m:e>
                <m:r>
                  <m:t xml:space="preserve">L</m:t>
                </m:r>
              </m:e>
              <m:sub>
                <m:r>
                  <m:t xml:space="preserve">(j)</m:t>
                </m:r>
              </m:sub>
            </m:sSub>
          </m:e>
        </m:nary>
      </m:oMath>
      <w:r>
        <w:rPr>
          <w:sz w:val="18"/>
        </w:rPr>
        <w:tab/>
        <w:t>（16）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EC=</m:t>
        </m:r>
        <m:func>
          <m:fName>
            <m:r>
              <m:rPr>
                <m:sty m:val="p"/>
              </m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TVaR</m:t>
                    </m:r>
                  </m:e>
                  <m:sub>
                    <m:r>
                      <m:t xml:space="preserve">99.5%</m:t>
                    </m:r>
                  </m:sub>
                </m:sSub>
                <m:r>
                  <m:t xml:space="preserve">−μ,0</m:t>
                </m:r>
              </m:e>
            </m:d>
          </m:e>
        </m:func>
        <m:r>
          <m:t xml:space="preserve">,  </m:t>
        </m:r>
        <m:sSub>
          <m:e>
            <m:r>
              <m:t xml:space="preserve">C</m:t>
            </m:r>
          </m:e>
          <m:sub>
            <m:r>
              <m:t xml:space="preserve">capital</m:t>
            </m:r>
          </m:sub>
        </m:sSub>
        <m:r>
          <m:t xml:space="preserve">=kτEC</m:t>
        </m:r>
      </m:oMath>
      <w:r>
        <w:rPr>
          <w:sz w:val="18"/>
        </w:rPr>
        <w:tab/>
        <w:t>（17）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Π=</m:t>
        </m:r>
        <m:f>
          <m:num>
            <m:sSub>
              <m:e>
                <m:r>
                  <m:t xml:space="preserve">Π</m:t>
                </m:r>
              </m:e>
              <m:sub>
                <m:r>
                  <m:t xml:space="preserve">pure</m:t>
                </m:r>
              </m:sub>
            </m:sSub>
            <m:r>
              <m:t xml:space="preserve">＋</m:t>
            </m:r>
            <m:sSub>
              <m:e>
                <m:r>
                  <m:t xml:space="preserve">C</m:t>
                </m:r>
              </m:e>
              <m:sub>
                <m:r>
                  <m:t xml:space="preserve">capital</m:t>
                </m:r>
              </m:sub>
            </m:sSub>
            <m:r>
              <m:t xml:space="preserve">＋F＋</m:t>
            </m:r>
            <m:sSub>
              <m:e>
                <m:r>
                  <m:t xml:space="preserve">C</m:t>
                </m:r>
              </m:e>
              <m:sub>
                <m:r>
                  <m:t xml:space="preserve">model</m:t>
                </m:r>
              </m:sub>
            </m:sSub>
          </m:num>
          <m:den>
            <m:r>
              <m:t xml:space="preserve">1−v−p</m:t>
            </m:r>
          </m:den>
        </m:f>
      </m:oMath>
      <w:r>
        <w:rPr>
          <w:sz w:val="18"/>
        </w:rPr>
        <w:tab/>
        <w:t>（18）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2376"/>
        <w:gridCol w:w="5184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研究假设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计量口径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r 折现率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2%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年率 实际日历天数除365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k 资本成本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8%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年率 资本代理持有至保障结束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v 变动费用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占总保费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p 利润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5%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占总保费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F 固定费用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200元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每张保单收一次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模型附加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基准0% 敏感性5% 10%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占折现纯保费 尚未校准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费用率和利润率以总保费为分母，要求v+p&lt;1。TVaR按损失排序的上尾概率质量求均值，封顶产生概率质量时仍按最差0.5%计算；一般路径数需对尾部边界进行分数样本权重处理。</w:t>
      </w:r>
    </w:p>
    <w:p>
      <w:pPr>
        <w:widowControl/>
      </w:pPr>
      <w:r>
        <w:rPr>
          <w:b w:val="0"/>
        </w:rPr>
        <w:t>资本代理未按保险人偿付能力口径核定，费用也尚非实际经营报价。赔款、费用、资本和模型不确定性分别估计的原则参考ASOP 53；该文献为方法参考，不是中国保险业务监管标准。[S4]</w:t>
      </w:r>
    </w:p>
    <w:p>
      <w:r>
        <w:br w:type="page"/>
      </w:r>
    </w:p>
    <w:p>
      <w:pPr>
        <w:pStyle w:val="Heading1"/>
      </w:pPr>
      <w:r>
        <w:t>9 产品定价结果与采价比较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936"/>
        <w:gridCol w:w="2088"/>
        <w:gridCol w:w="2088"/>
        <w:gridCol w:w="1800"/>
        <w:gridCol w:w="2016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交易日</w:t>
            </w:r>
          </w:p>
        </w:tc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日历天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预期赔款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纯保费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资本费用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总保费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300.71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300.36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16.10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645.58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621.02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619.83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24.38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1,055.25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63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941.63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938.38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39.45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1,472.29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91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1,101.66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1,096.18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53.79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1,687.47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单位元；每档承保1,000吨，最高赔款3,798.64元。单阶段期限延长改变赔款分布与资金持有时间，不能用短期保费按天数线性外推。40、60日尚缺独立赔款检验。</w:t>
      </w:r>
    </w:p>
    <w:p>
      <w:pPr>
        <w:pStyle w:val="Heading2"/>
      </w:pPr>
      <w:r>
        <w:t>9 1 20日采价口径比较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2736"/>
        <w:gridCol w:w="2664"/>
      </w:tblGrid>
      <w:tr>
        <w:trPr>
          <w:cantSplit/>
          <w:tblHeader/>
        </w:trPr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采价方式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预期赔款 元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总保费 元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期末单日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685.59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1,135.20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末5日均价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621.02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1,055.25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全期间均价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300.56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658.53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期间最高收盘价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1,109.55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1,660.07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四种方式共用同一价格路径。期末单日适合特定日集中采购；末5日均价适合阶段末分批采购；全期间均价适合贯穿期间的采购；最高收盘价为更宽责任，示例仍只结算一次。选择采价口径应贴合真实采购计划，不能只选择报价最低者。</w:t>
      </w:r>
    </w:p>
    <w:p>
      <w:pPr>
        <w:pStyle w:val="Heading2"/>
      </w:pPr>
      <w:r>
        <w:t>9 2 20日保费金额示例</w:t>
      </w:r>
    </w:p>
    <w:p>
      <w:pPr>
        <w:widowControl/>
      </w:pPr>
      <w:r>
        <w:rPr>
          <w:b w:val="0"/>
        </w:rPr>
        <w:t>预期赔款621.02元，经35日折现后纯保费619.83元；资本费用24.38元、固定费用200元，合计除以0.8，得到总保费1,055.25元。</w:t>
      </w:r>
    </w:p>
    <w:p>
      <w:pPr>
        <w:widowControl/>
      </w:pPr>
      <w:r>
        <w:rPr>
          <w:b w:val="0"/>
        </w:rPr>
        <w:t>赔付概率为31.50%，预期赔款模拟标准误3.69元。该标准误仅反映随机抽样，不包含模型误差、来源误差或企业执行价差。</w:t>
      </w:r>
    </w:p>
    <w:p>
      <w:pPr>
        <w:pStyle w:val="Heading2"/>
      </w:pPr>
      <w:r>
        <w:t>9 3 模型附加敏感性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112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附加占纯保费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示范总保费 元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0.00%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1,055.25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5.00%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1,093.99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10.00%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1,132.73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5%和10%仅为敏感性假设，没有证据证明足以覆盖回放中的低估。</w:t>
      </w:r>
    </w:p>
    <w:p>
      <w:r>
        <w:br w:type="page"/>
      </w:r>
    </w:p>
    <w:p>
      <w:pPr>
        <w:pStyle w:val="Heading1"/>
      </w:pPr>
      <w:r>
        <w:t>10 多阶段主保单定价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2088"/>
        <w:gridCol w:w="1080"/>
        <w:gridCol w:w="2664"/>
        <w:gridCol w:w="3096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截止日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吨数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最高赔款 元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单独保费 元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2026-11-04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1,519.46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572.10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2026-12-02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1,139.59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616.69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2026-12-30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1,139.59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681.24</w:t>
            </w:r>
          </w:p>
        </w:tc>
      </w:tr>
    </w:tbl>
    <w:p>
      <w:pPr>
        <w:spacing w:after="20"/>
      </w:pPr>
    </w:p>
    <w:p>
      <w:pPr>
        <w:tabs>
          <w:tab w:pos="9576" w:val="right"/>
        </w:tabs>
        <w:spacing w:before="60" w:after="140"/>
        <w:ind w:left="115"/>
      </w:pPr>
      <m:oMath>
        <m:r>
          <m:t xml:space="preserve">L=</m:t>
        </m:r>
        <m:nary>
          <m:naryPr>
            <m:chr m:val="∑"/>
            <m:limLoc m:val="undOvr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L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,  </m:t>
        </m:r>
        <m:sSub>
          <m:e>
            <m:r>
              <m:t xml:space="preserve">A</m:t>
            </m:r>
          </m:e>
          <m:sub>
            <m:r>
              <m:t xml:space="preserve">total</m:t>
            </m:r>
          </m:sub>
        </m:sSub>
        <m:r>
          <m:t xml:space="preserve">=</m:t>
        </m:r>
        <m:nary>
          <m:naryPr>
            <m:chr m:val="∑"/>
            <m:limLoc m:val="undOvr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</m:oMath>
      <w:r>
        <w:rPr>
          <w:sz w:val="18"/>
        </w:rPr>
        <w:tab/>
        <w:t>（19）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Π</m:t>
            </m:r>
          </m:e>
          <m:sub>
            <m:r>
              <m:t xml:space="preserve">pure,joint</m:t>
            </m:r>
          </m:sub>
        </m:sSub>
        <m:r>
          <m:t xml:space="preserve">=</m:t>
        </m:r>
        <m:nary>
          <m:naryPr>
            <m:chr m:val="∑"/>
            <m:limLoc m:val="undOvr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func>
              <m:fName>
                <m:r>
                  <m:rPr>
                    <m:sty m:val="p"/>
                  </m:rPr>
                  <m:t xml:space="preserve">exp</m:t>
                </m:r>
              </m:fName>
              <m:e>
                <m:d>
                  <m:dPr>
                    <m:begChr m:val="("/>
                    <m:endChr m:val=")"/>
                  </m:dPr>
                  <m:e>
                    <m:r>
                      <m:t xml:space="preserve">−r</m:t>
                    </m:r>
                    <m:sSub>
                      <m:e>
                        <m:r>
                          <m:t xml:space="preserve">τ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</m:e>
                </m:d>
              </m:e>
            </m:func>
            <m:func>
              <m:fName>
                <m:r>
                  <m:rPr>
                    <m:sty m:val="p"/>
                  </m:rPr>
                  <m:t xml:space="preserve">E</m:t>
                </m:r>
              </m:fName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L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</m:e>
                </m:d>
              </m:e>
            </m:func>
          </m:e>
        </m:nary>
      </m:oMath>
      <w:r>
        <w:rPr>
          <w:sz w:val="18"/>
        </w:rPr>
        <w:tab/>
        <w:t>（20）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C</m:t>
            </m:r>
          </m:e>
          <m:sub>
            <m:r>
              <m:t xml:space="preserve">capital,joint</m:t>
            </m:r>
          </m:sub>
        </m:sSub>
        <m:r>
          <m:t xml:space="preserve">=k</m:t>
        </m:r>
        <m:sSub>
          <m:e>
            <m:r>
              <m:t xml:space="preserve">τ</m:t>
            </m:r>
          </m:e>
          <m:sub>
            <m:r>
              <m:t xml:space="preserve">max</m:t>
            </m:r>
          </m:sub>
        </m:sSub>
        <m:func>
          <m:fName>
            <m:r>
              <m:rPr>
                <m:sty m:val="p"/>
              </m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TVaR</m:t>
                    </m:r>
                  </m:e>
                  <m:sub>
                    <m:r>
                      <m:t xml:space="preserve">99.5%</m:t>
                    </m:r>
                  </m:sub>
                </m:sSub>
                <m:r>
                  <m:t xml:space="preserve">(L)−</m:t>
                </m:r>
                <m:func>
                  <m:fName>
                    <m:r>
                      <m:rPr>
                        <m:sty m:val="p"/>
                      </m:rPr>
                      <m:t xml:space="preserve">E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L</m:t>
                        </m:r>
                      </m:e>
                    </m:d>
                  </m:e>
                </m:func>
                <m:r>
                  <m:t xml:space="preserve">,0</m:t>
                </m:r>
              </m:e>
            </m:d>
          </m:e>
        </m:func>
      </m:oMath>
      <w:r>
        <w:rPr>
          <w:sz w:val="18"/>
        </w:rPr>
        <w:tab/>
        <w:t>（21）</w:t>
      </w:r>
    </w:p>
    <w:p>
      <w:pPr>
        <w:widowControl/>
      </w:pPr>
      <w:r>
        <w:rPr>
          <w:b w:val="0"/>
        </w:rPr>
        <w:t>本例一次安排400、300、300吨，共1,000吨。阶段赔款取自同一价格路径，不能把阶段独立模拟。赔款相关系数约为0.563、0.416、0.692；共用碳价风险意味着不能假设风险完全分散。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4"/>
        <w:gridCol w:w="4680"/>
      </w:tblGrid>
      <w:tr>
        <w:trPr>
          <w:cantSplit/>
          <w:tblHeader/>
        </w:trPr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整单指标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结果 元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预期累计赔款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861.39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各阶段折现纯保费之和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858.30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累计最高赔款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3,798.64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资本费用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58.58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主保单示范总保费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1,396.11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三段分别投保的总保费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1,870.03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主保单固定费用仅收200元，三张独立保单各收200元。资本代理保守地持有至最后阶段，未模拟按阶段释放；因此上述差额不是已核实的实际商业折扣。如另设低于各段限额之和的整单上限，须重新截断累计赔款并定价。</w:t>
      </w:r>
    </w:p>
    <w:p>
      <w:r>
        <w:br w:type="page"/>
      </w:r>
    </w:p>
    <w:p>
      <w:pPr>
        <w:pStyle w:val="Heading1"/>
      </w:pPr>
      <w:r>
        <w:t>11 历史回放与模型问题</w:t>
      </w:r>
    </w:p>
    <w:p>
      <w:pPr>
        <w:widowControl/>
      </w:pPr>
      <w:r>
        <w:rPr>
          <w:b w:val="0"/>
        </w:rPr>
        <w:t>20日回放使用当时已知的历史窗口和起点预算价，实际指数取未来第16至20个交易日均价，按相同候选责任计算历史指数赔款。它们是按价格重构的赔款，不是真实保险理赔数据。验证42个起点，后段40个起点，中间清除19个起点。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RMSE=</m:t>
        </m:r>
        <m:rad>
          <m:radPr>
            <m:degHide m:val="1"/>
          </m:radPr>
          <m:deg/>
          <m:e>
            <m:f>
              <m:num>
                <m:r>
                  <m:t xml:space="preserve">1</m:t>
                </m:r>
              </m:num>
              <m:den>
                <m:r>
                  <m:t xml:space="preserve">n</m:t>
                </m:r>
              </m:den>
            </m:f>
            <m:nary>
              <m:naryPr>
                <m:chr m:val="∑"/>
                <m:limLoc m:val="undOvr"/>
              </m:naryPr>
              <m:sub>
                <m:r>
                  <m:t xml:space="preserve">o=1</m:t>
                </m:r>
              </m:sub>
              <m:sup>
                <m:r>
                  <m:t xml:space="preserve"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μ</m:t>
                            </m:r>
                          </m:e>
                          <m:sub>
                            <m:r>
                              <m:t xml:space="preserve">o</m:t>
                            </m:r>
                          </m:sub>
                        </m:sSub>
                        <m:r>
                          <m:t xml:space="preserve">−</m:t>
                        </m:r>
                        <m:sSub>
                          <m:e>
                            <m:r>
                              <m:t xml:space="preserve">L</m:t>
                            </m:r>
                          </m:e>
                          <m:sub>
                            <m:r>
                              <m:t xml:space="preserve">o</m:t>
                            </m:r>
                          </m:sub>
                        </m:sSub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e>
            </m:nary>
          </m:e>
        </m:rad>
      </m:oMath>
      <w:r>
        <w:rPr>
          <w:sz w:val="18"/>
        </w:rPr>
        <w:tab/>
        <w:t>（22）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2016"/>
        <w:gridCol w:w="2016"/>
        <w:gridCol w:w="2016"/>
        <w:gridCol w:w="1944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验证RMSE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后段RMSE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后段偏差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历史赔款比预期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区块基准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630.28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1,647.99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-613.66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1.845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漂移收缩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647.24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1,591.53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-272.97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1.256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波动调整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705.91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1,872.33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-718.30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2.155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按验证RMSE，基准模型为本版研究基准。后段基准预期赔款合计29,060.92元，历史指数赔款合计53,607.44元，后者为前者的1.845倍，说明需要检查趋势、状态变化或分布尾部等低估原因。</w:t>
      </w:r>
    </w:p>
    <w:p>
      <w:pPr>
        <w:widowControl/>
      </w:pPr>
      <w:r>
        <w:rPr>
          <w:b w:val="0"/>
        </w:rPr>
        <w:t>两段内部的20日结果窗口重叠；这些日期此前已用于研究。因此42及40个起点不是独立保险风险，本轮也不是新的独立检验。不能把1.845倍直接作为最终加价系数，然后用同一数据声称校准成功。</w:t>
      </w:r>
    </w:p>
    <w:p>
      <w:pPr>
        <w:pStyle w:val="Heading2"/>
      </w:pPr>
      <w:r>
        <w:t>11 1 下一轮校准方法</w:t>
      </w:r>
    </w:p>
    <w:p>
      <w:pPr>
        <w:widowControl/>
      </w:pPr>
      <w:r>
        <w:rPr>
          <w:b w:val="0"/>
        </w:rPr>
        <w:t>1. 预先固定新的验证区间、误差及校准指标。</w:t>
      </w:r>
    </w:p>
    <w:p>
      <w:pPr>
        <w:widowControl/>
      </w:pPr>
      <w:r>
        <w:rPr>
          <w:b w:val="0"/>
        </w:rPr>
        <w:t>2. 在每个起点只使用已经成熟的历史赔款标签；20日标签需等待20交易日。</w:t>
      </w:r>
    </w:p>
    <w:p>
      <w:pPr>
        <w:widowControl/>
      </w:pPr>
      <w:r>
        <w:rPr>
          <w:b w:val="0"/>
        </w:rPr>
        <w:t>3. 在训练资料内估计漂移、窗口或校准附加，不读取未来验证结果。</w:t>
      </w:r>
    </w:p>
    <w:p>
      <w:pPr>
        <w:widowControl/>
      </w:pPr>
      <w:r>
        <w:rPr>
          <w:b w:val="0"/>
        </w:rPr>
        <w:t>4. 用未参与选择的样本评价预期赔款、发生概率与尾部表现。</w:t>
      </w:r>
    </w:p>
    <w:p>
      <w:pPr>
        <w:widowControl/>
      </w:pPr>
      <w:r>
        <w:rPr>
          <w:b w:val="0"/>
        </w:rPr>
        <w:t>5. 分别检查10、40、60日和多阶段策略，记录重叠窗口及样本不确定性。</w:t>
      </w:r>
    </w:p>
    <w:p>
      <w:pPr>
        <w:widowControl/>
      </w:pPr>
      <w:r>
        <w:rPr>
          <w:b w:val="0"/>
        </w:rPr>
        <w:t>新报价的100,000条路径不增加独立历史样本。该回放沿用历史种子20261009加起点索引，每起点20,000条路径；本版统一路径种子仅用于当前产品与企业决策，历史回放记录完整保留。</w:t>
      </w:r>
    </w:p>
    <w:p>
      <w:r>
        <w:br w:type="page"/>
      </w:r>
    </w:p>
    <w:p>
      <w:pPr>
        <w:pStyle w:val="Heading1"/>
      </w:pPr>
      <w:r>
        <w:t>12 降低保费的条件与取舍</w:t>
      </w:r>
    </w:p>
    <w:p>
      <w:pPr>
        <w:pStyle w:val="Heading2"/>
      </w:pPr>
      <w:r>
        <w:t>12 1 同路径比较责任变化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744"/>
        <w:gridCol w:w="374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条款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此前责任结构同路径复算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本版候选责任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承保吨数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1,000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1,000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预算价 元每吨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94.96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94.966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免赔 元每吨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每吨赔付比例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最高保障价差 元每吨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4.7483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最高赔款 元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10,000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3,798.64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采价方式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期末单日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末5日均价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20日保费 元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1,591.45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1,055.25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两列使用同一组价格路径和费用假设。降低保费伴随最高赔款和赔付比例下降、采价口径变化，不能把差额当作算法改进的优惠。此前不同种子得到的1,605.61元等历史报价属于不同复算版本。</w:t>
      </w:r>
    </w:p>
    <w:p>
      <w:pPr>
        <w:pStyle w:val="Heading2"/>
      </w:pPr>
      <w:r>
        <w:t>12 2 可实际研究的降费方式</w:t>
      </w:r>
    </w:p>
    <w:p>
      <w:pPr>
        <w:widowControl/>
      </w:pPr>
      <w:r>
        <w:rPr>
          <w:b w:val="0"/>
        </w:rPr>
        <w:t>部分投保可以直接减少保障量；免赔和最高价差选择可以调整责任；同企业多阶段合并可摊薄固定费用。费用自动化、再保险与对冲需要实际成本证明，不能事先假设一定节省。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3816"/>
        <w:gridCol w:w="388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20日吨数示例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最高赔款 元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总保费 元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1,000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3,798.64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1,055.25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10,000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37,986.40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8,302.54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50,000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189,932.00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40,512.71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固定费用按每张保单收取，所以总保费不完全随吨数成比例。大额示例未经过保险人容量及组合风险批准。</w:t>
      </w:r>
    </w:p>
    <w:p>
      <w:pPr>
        <w:pStyle w:val="Heading2"/>
      </w:pPr>
      <w:r>
        <w:t>12 3 报价充足性</w:t>
      </w:r>
    </w:p>
    <w:p>
      <w:pPr>
        <w:widowControl/>
      </w:pPr>
      <w:r>
        <w:rPr>
          <w:b w:val="0"/>
        </w:rPr>
        <w:t>降低报价之前应先修复赔款预测不足，并计入真实费用及资本。报价优化的验收应分别说明责任变化、费用下降和模型表现变化，不能以保费更低作为算法更好的唯一证据。</w:t>
      </w:r>
    </w:p>
    <w:p>
      <w:r>
        <w:br w:type="page"/>
      </w:r>
    </w:p>
    <w:p>
      <w:pPr>
        <w:pStyle w:val="Heading1"/>
      </w:pPr>
      <w:r>
        <w:t>13 企业购售决策模型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I</m:t>
            </m:r>
          </m:e>
          <m:sub>
            <m:r>
              <m:t xml:space="preserve">t</m:t>
            </m:r>
          </m:sub>
        </m:sSub>
        <m:r>
          <m:t xml:space="preserve">=</m:t>
        </m:r>
        <m:sSub>
          <m:e>
            <m:r>
              <m:t xml:space="preserve">I</m:t>
            </m:r>
          </m:e>
          <m:sub>
            <m:r>
              <m:t xml:space="preserve">t−1</m:t>
            </m:r>
          </m:sub>
        </m:sSub>
        <m:r>
          <m:t xml:space="preserve">＋</m:t>
        </m:r>
        <m:sSub>
          <m:e>
            <m:r>
              <m:t xml:space="preserve">a</m:t>
            </m:r>
          </m:e>
          <m:sub>
            <m:r>
              <m:t xml:space="preserve">t</m:t>
            </m:r>
          </m:sub>
        </m:sSub>
        <m:r>
          <m:t xml:space="preserve">＋</m:t>
        </m:r>
        <m:sSub>
          <m:e>
            <m:r>
              <m:t xml:space="preserve">b</m:t>
            </m:r>
          </m:e>
          <m:sub>
            <m:r>
              <m:t xml:space="preserve">t</m:t>
            </m:r>
          </m:sub>
        </m:sSub>
        <m:r>
          <m:t xml:space="preserve">−</m:t>
        </m:r>
        <m:sSub>
          <m:e>
            <m:r>
              <m:t xml:space="preserve">s</m:t>
            </m:r>
          </m:e>
          <m:sub>
            <m:r>
              <m:t xml:space="preserve">t</m:t>
            </m:r>
          </m:sub>
        </m:sSub>
        <m:r>
          <m:t xml:space="preserve">−</m:t>
        </m:r>
        <m:sSub>
          <m:e>
            <m:r>
              <m:t xml:space="preserve">v</m:t>
            </m:r>
          </m:e>
          <m:sub>
            <m:r>
              <m:t xml:space="preserve">t</m:t>
            </m:r>
          </m:sub>
        </m:sSub>
      </m:oMath>
      <w:r>
        <w:rPr>
          <w:sz w:val="18"/>
        </w:rPr>
        <w:tab/>
        <w:t>（23）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V</m:t>
            </m:r>
          </m:e>
          <m:sub>
            <m:r>
              <m:t xml:space="preserve">t</m:t>
            </m:r>
          </m:sub>
        </m:sSub>
        <m:r>
          <m:t xml:space="preserve">=</m:t>
        </m:r>
        <m:func>
          <m:fName>
            <m:r>
              <m:rPr>
                <m:sty m:val="p"/>
              </m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I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I</m:t>
                    </m:r>
                  </m:e>
                  <m:sub>
                    <m:r>
                      <m:t xml:space="preserve">restricted,t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R</m:t>
                    </m:r>
                  </m:e>
                  <m:sub>
                    <m:r>
                      <m:t xml:space="preserve">safe,t</m:t>
                    </m:r>
                  </m:sub>
                </m:sSub>
                <m:r>
                  <m:t xml:space="preserve">,0</m:t>
                </m:r>
              </m:e>
            </m:d>
          </m:e>
        </m:func>
      </m:oMath>
      <w:r>
        <w:rPr>
          <w:sz w:val="18"/>
        </w:rPr>
        <w:tab/>
        <w:t>（24）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0≤</m:t>
        </m:r>
        <m:sSub>
          <m:e>
            <m:r>
              <m:t xml:space="preserve">s</m:t>
            </m:r>
          </m:e>
          <m:sub>
            <m:r>
              <m:t xml:space="preserve">t</m:t>
            </m:r>
          </m:sub>
        </m:sSub>
        <m:r>
          <m:t xml:space="preserve">≤</m:t>
        </m:r>
        <m:sSub>
          <m:e>
            <m:r>
              <m:t xml:space="preserve">V</m:t>
            </m:r>
          </m:e>
          <m:sub>
            <m:r>
              <m:t xml:space="preserve">t</m:t>
            </m:r>
          </m:sub>
        </m:sSub>
        <m:r>
          <m:t xml:space="preserve">,  0≤</m:t>
        </m:r>
        <m:sSub>
          <m:e>
            <m:r>
              <m:t xml:space="preserve">Q</m:t>
            </m:r>
          </m:e>
          <m:sub>
            <m:r>
              <m:t xml:space="preserve">ins,i</m:t>
            </m:r>
          </m:sub>
        </m:sSub>
        <m:r>
          <m:t xml:space="preserve">≤</m:t>
        </m:r>
        <m:sSub>
          <m:e>
            <m:r>
              <m:t xml:space="preserve">b</m:t>
            </m:r>
          </m:e>
          <m:sub>
            <m:r>
              <m:t xml:space="preserve">unlocked,i</m:t>
            </m:r>
          </m:sub>
        </m:sSub>
      </m:oMath>
      <w:r>
        <w:rPr>
          <w:sz w:val="18"/>
        </w:rPr>
        <w:tab/>
        <w:t>（25）</w:t>
      </w:r>
    </w:p>
    <w:p>
      <w:pPr>
        <w:widowControl/>
      </w:pPr>
      <w:r>
        <w:rPr>
          <w:b w:val="0"/>
        </w:rPr>
        <w:t>a为到账配额，b为买入并交付量，s为卖出量，v为清缴消耗。R安全包括尚需清缴的预留和经过企业确认的安全缓冲。年度用途与资源合法性需核验，未来合同不作为已交付可售库存。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θ=</m:t>
        </m:r>
        <m:f>
          <m:num>
            <m:sSub>
              <m:e>
                <m:r>
                  <m:t xml:space="preserve">Q</m:t>
                </m:r>
              </m:e>
              <m:sub>
                <m:r>
                  <m:t xml:space="preserve">ins</m:t>
                </m:r>
              </m:sub>
            </m:sSub>
          </m:num>
          <m:den>
            <m:r>
              <m:t xml:space="preserve">D</m:t>
            </m:r>
          </m:den>
        </m:f>
        <m:r>
          <m:t xml:space="preserve">,  α=</m:t>
        </m:r>
        <m:f>
          <m:num>
            <m:sSub>
              <m:e>
                <m:r>
                  <m:t xml:space="preserve">Q</m:t>
                </m:r>
              </m:e>
              <m:sub>
                <m:r>
                  <m:t xml:space="preserve">ins</m:t>
                </m:r>
              </m:sub>
            </m:sSub>
          </m:num>
          <m:den>
            <m:r>
              <m:t xml:space="preserve">D−</m:t>
            </m:r>
            <m:sSub>
              <m:e>
                <m:r>
                  <m:t xml:space="preserve">q</m:t>
                </m:r>
              </m:e>
              <m:sub>
                <m:r>
                  <m:t xml:space="preserve">0</m:t>
                </m:r>
              </m:sub>
            </m:sSub>
          </m:den>
        </m:f>
      </m:oMath>
      <w:r>
        <w:rPr>
          <w:sz w:val="18"/>
        </w:rPr>
        <w:tab/>
        <w:t>（26）</w:t>
      </w:r>
    </w:p>
    <w:p>
      <w:pPr>
        <w:widowControl/>
      </w:pPr>
      <w:r>
        <w:rPr>
          <w:b w:val="0"/>
        </w:rPr>
        <w:t>总缺口1万吨，先买5,000吨，未来采购中保2,500吨，总缺口覆盖率θ=25%，剩余采购覆盖率α=50%；每吨赔付比例η=80%仍单独计算。没有未来未锁价采购时不定义α并不安排该类保险。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C</m:t>
            </m:r>
          </m:e>
          <m:sub>
            <m:r>
              <m:t xml:space="preserve">net</m:t>
            </m:r>
          </m:sub>
        </m:sSub>
        <m:r>
          <m:t xml:space="preserve">=采购支出＋保费＋交易及资金成本−赔款−出售净回款</m:t>
        </m:r>
      </m:oMath>
      <w:r>
        <w:rPr>
          <w:sz w:val="18"/>
        </w:rPr>
        <w:tab/>
        <w:t>（27）</w:t>
      </w:r>
    </w:p>
    <w:p>
      <w:pPr>
        <w:widowControl/>
      </w:pPr>
      <w:r>
        <w:rPr>
          <w:b w:val="0"/>
        </w:rPr>
        <w:t>实际买价P实际与指数X可能不同。企业增加或取消采购、改变日期、出售已保障需求对应配额后，应重核保险数量及利益；最终处理以合同为准。采购上涨保险不覆盖售碳价格下跌。</w:t>
      </w:r>
    </w:p>
    <w:p>
      <w:r>
        <w:br w:type="page"/>
      </w:r>
    </w:p>
    <w:p>
      <w:pPr>
        <w:pStyle w:val="Heading1"/>
      </w:pPr>
      <w:r>
        <w:t>14 企业方案目标与算法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min  </m:t>
        </m:r>
        <m:func>
          <m:fName>
            <m:r>
              <m:rPr>
                <m:sty m:val="p"/>
              </m:rPr>
              <m:t xml:space="preserve">E</m:t>
            </m:r>
          </m:fName>
          <m:e>
            <m:d>
              <m:dPr>
                <m:begChr m:val="("/>
                <m:endChr m:val=")"/>
              </m:dPr>
              <m:e>
                <m:r>
                  <m:t xml:space="preserve">C</m:t>
                </m:r>
              </m:e>
            </m:d>
          </m:e>
        </m:func>
        <m:r>
          <m:t xml:space="preserve">＋λ</m:t>
        </m:r>
        <m:d>
          <m:dPr>
            <m:begChr m:val="("/>
            <m:endChr m:val=")"/>
          </m:dPr>
          <m:e>
            <m:sSub>
              <m:e>
                <m:r>
                  <m:t xml:space="preserve">CVaR</m:t>
                </m:r>
              </m:e>
              <m:sub>
                <m:r>
                  <m:t xml:space="preserve">95%</m:t>
                </m:r>
              </m:sub>
            </m:sSub>
            <m:r>
              <m:t xml:space="preserve">(C)−</m:t>
            </m:r>
            <m:func>
              <m:fName>
                <m:r>
                  <m:rPr>
                    <m:sty m:val="p"/>
                  </m:rPr>
                  <m:t xml:space="preserve">E</m:t>
                </m:r>
              </m:fName>
              <m:e>
                <m:d>
                  <m:dPr>
                    <m:begChr m:val="("/>
                    <m:endChr m:val=")"/>
                  </m:dPr>
                  <m:e>
                    <m:r>
                      <m:t xml:space="preserve">C</m:t>
                    </m:r>
                  </m:e>
                </m:d>
              </m:e>
            </m:func>
          </m:e>
        </m:d>
      </m:oMath>
      <w:r>
        <w:rPr>
          <w:sz w:val="18"/>
        </w:rPr>
        <w:tab/>
        <w:t>（28）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CVaR</m:t>
            </m:r>
          </m:e>
          <m:sub>
            <m:r>
              <m:t xml:space="preserve">95%</m:t>
            </m:r>
          </m:sub>
        </m:sSub>
        <m:r>
          <m:t xml:space="preserve">(C)=</m:t>
        </m:r>
        <m:sSub>
          <m:e>
            <m:r>
              <m:t xml:space="preserve">min</m:t>
            </m:r>
          </m:e>
          <m:sub>
            <m:r>
              <m:t xml:space="preserve">z</m:t>
            </m:r>
          </m:sub>
        </m:sSub>
        <m:d>
          <m:dPr>
            <m:begChr m:val="("/>
            <m:endChr m:val=")"/>
          </m:dPr>
          <m:e>
            <m:r>
              <m:t xml:space="preserve">z＋20</m:t>
            </m:r>
            <m:func>
              <m:fName>
                <m:r>
                  <m:rPr>
                    <m:sty m:val="p"/>
                  </m:rPr>
                  <m:t xml:space="preserve">E</m:t>
                </m:r>
              </m:fName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m:t xml:space="preserve">C−z</m:t>
                            </m:r>
                          </m:e>
                        </m:d>
                      </m:e>
                      <m:sup>
                        <m:r>
                          <m:t xml:space="preserve">+</m:t>
                        </m:r>
                      </m:sup>
                    </m:sSup>
                  </m:e>
                </m:d>
              </m:e>
            </m:func>
          </m:e>
        </m:d>
      </m:oMath>
      <w:r>
        <w:rPr>
          <w:sz w:val="18"/>
        </w:rPr>
        <w:tab/>
        <w:t>（29）</w:t>
      </w:r>
    </w:p>
    <w:p>
      <w:pPr>
        <w:widowControl/>
      </w:pPr>
      <w:r>
        <w:rPr>
          <w:b w:val="0"/>
        </w:rPr>
        <w:t>λ反映企业对不利成本的权重，演示值为0、0.15和0.5。企业也可以指定现金、保费或成本超预算概率约束。真实风险容忍度需在交互中确认。</w:t>
      </w:r>
    </w:p>
    <w:p>
      <w:pPr>
        <w:pStyle w:val="Heading2"/>
      </w:pPr>
      <w:r>
        <w:t>14 1 单阶段成本的时间统一</w:t>
      </w:r>
    </w:p>
    <w:p>
      <w:pPr>
        <w:tabs>
          <w:tab w:pos="9576" w:val="right"/>
        </w:tabs>
        <w:spacing w:before="60" w:after="140"/>
        <w:ind w:left="115"/>
      </w:pP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20</m:t>
                </m:r>
              </m:sub>
            </m:sSub>
          </m:e>
          <m:sup>
            <m:r>
              <m:t xml:space="preserve">(0)</m:t>
            </m:r>
          </m:sup>
        </m:sSup>
        <m:r>
          <m:t xml:space="preserve">=</m:t>
        </m:r>
        <m:d>
          <m:dPr>
            <m:begChr m:val="("/>
            <m:endChr m:val=")"/>
          </m:dPr>
          <m:e>
            <m:sSub>
              <m:e>
                <m:r>
                  <m:t xml:space="preserve">q</m:t>
                </m:r>
              </m:e>
              <m:sub>
                <m:r>
                  <m:t xml:space="preserve">0</m:t>
                </m:r>
              </m:sub>
            </m:sSub>
            <m:sSub>
              <m:e>
                <m:r>
                  <m:t xml:space="preserve">S</m:t>
                </m:r>
              </m:e>
              <m:sub>
                <m:r>
                  <m:t xml:space="preserve">0</m:t>
                </m:r>
              </m:sub>
            </m:sSub>
            <m:r>
              <m:t xml:space="preserve">(1＋f)＋Π</m:t>
            </m:r>
          </m:e>
        </m:d>
        <m:func>
          <m:fName>
            <m:r>
              <m:rPr>
                <m:sty m:val="p"/>
              </m:rPr>
              <m:t xml:space="preserve">exp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r</m:t>
                    </m:r>
                  </m:e>
                  <m:sub>
                    <m:r>
                      <m:t xml:space="preserve">f</m:t>
                    </m:r>
                  </m:sub>
                </m:sSub>
                <m:sSub>
                  <m:e>
                    <m:r>
                      <m:t xml:space="preserve">τ</m:t>
                    </m:r>
                  </m:e>
                  <m:sub>
                    <m:r>
                      <m:t xml:space="preserve">20</m:t>
                    </m:r>
                  </m:sub>
                </m:sSub>
              </m:e>
            </m:d>
          </m:e>
        </m:func>
      </m:oMath>
      <w:r>
        <w:rPr>
          <w:sz w:val="18"/>
        </w:rPr>
        <w:tab/>
        <w:t>（30）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C</m:t>
            </m:r>
          </m:e>
          <m:sub>
            <m:r>
              <m:t xml:space="preserve">20</m:t>
            </m:r>
          </m:sub>
        </m:sSub>
        <m:r>
          <m:t xml:space="preserve">=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20</m:t>
                </m:r>
              </m:sub>
            </m:sSub>
          </m:e>
          <m:sup>
            <m:r>
              <m:t xml:space="preserve">(0)</m:t>
            </m:r>
          </m:sup>
        </m:sSup>
        <m:r>
          <m:t xml:space="preserve">＋</m:t>
        </m:r>
        <m:d>
          <m:dPr>
            <m:begChr m:val="("/>
            <m:endChr m:val=")"/>
          </m:dPr>
          <m:e>
            <m:d>
              <m:dPr>
                <m:begChr m:val="("/>
                <m:endChr m:val=")"/>
              </m:dPr>
              <m:e>
                <m:r>
                  <m:t xml:space="preserve">D−</m:t>
                </m:r>
                <m:sSub>
                  <m:e>
                    <m:r>
                      <m:t xml:space="preserve">q</m:t>
                    </m:r>
                  </m:e>
                  <m:sub>
                    <m:r>
                      <m:t xml:space="preserve">0</m:t>
                    </m:r>
                  </m:sub>
                </m:sSub>
              </m:e>
            </m:d>
            <m:sSub>
              <m:e>
                <m:r>
                  <m:t xml:space="preserve">X</m:t>
                </m:r>
              </m:e>
              <m:sub>
                <m:r>
                  <m:t xml:space="preserve">h</m:t>
                </m:r>
              </m:sub>
            </m:sSub>
            <m:r>
              <m:t xml:space="preserve">(1＋f)−</m:t>
            </m:r>
            <m:sSub>
              <m:e>
                <m:r>
                  <m:t xml:space="preserve">L</m:t>
                </m:r>
              </m:e>
              <m:sub>
                <m:r>
                  <m:t xml:space="preserve">h</m:t>
                </m:r>
              </m:sub>
            </m:sSub>
          </m:e>
        </m:d>
        <m:func>
          <m:fName>
            <m:r>
              <m:rPr>
                <m:sty m:val="p"/>
              </m:rPr>
              <m:t xml:space="preserve">exp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r</m:t>
                    </m:r>
                  </m:e>
                  <m:sub>
                    <m:r>
                      <m:t xml:space="preserve">f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τ</m:t>
                        </m:r>
                      </m:e>
                      <m:sub>
                        <m:r>
                          <m:t xml:space="preserve">20</m:t>
                        </m:r>
                      </m:sub>
                    </m:sSub>
                    <m:r>
                      <m:t xml:space="preserve">−</m:t>
                    </m:r>
                    <m:sSub>
                      <m:e>
                        <m:r>
                          <m:t xml:space="preserve">τ</m:t>
                        </m:r>
                      </m:e>
                      <m:sub>
                        <m:r>
                          <m:t xml:space="preserve">h</m:t>
                        </m:r>
                      </m:sub>
                    </m:sSub>
                  </m:e>
                </m:d>
              </m:e>
            </m:d>
          </m:e>
        </m:func>
      </m:oMath>
      <w:r>
        <w:rPr>
          <w:sz w:val="18"/>
        </w:rPr>
        <w:tab/>
        <w:t>（31）</w:t>
      </w:r>
    </w:p>
    <w:p>
      <w:pPr>
        <w:widowControl/>
      </w:pPr>
      <w:r>
        <w:rPr>
          <w:b w:val="0"/>
        </w:rPr>
        <w:t>本演示令分批执行价等于末5日指数，全部方案统一到第20交易日计量；提前支出计入资金成本。实际成交价差、赔款到账延迟、税费及融资额度尚未输入。</w:t>
      </w:r>
    </w:p>
    <w:p>
      <w:pPr>
        <w:pStyle w:val="Heading2"/>
      </w:pPr>
      <w:r>
        <w:t>14 2 枚举及筛选</w:t>
      </w:r>
    </w:p>
    <w:p>
      <w:pPr>
        <w:widowControl/>
      </w:pPr>
      <w:r>
        <w:rPr>
          <w:b w:val="0"/>
        </w:rPr>
        <w:t>1. 枚举提前采购比例和剩余采购投保比例各0%、25%、50%、75%、100%，并选10或20交易日采购窗口。</w:t>
      </w:r>
    </w:p>
    <w:p>
      <w:pPr>
        <w:widowControl/>
      </w:pPr>
      <w:r>
        <w:rPr>
          <w:b w:val="0"/>
        </w:rPr>
        <w:t>2. 给定同一条款，以基准模型计算保费。没有投保量时保费为零，不收保险固定费。</w:t>
      </w:r>
    </w:p>
    <w:p>
      <w:pPr>
        <w:widowControl/>
      </w:pPr>
      <w:r>
        <w:rPr>
          <w:b w:val="0"/>
        </w:rPr>
        <w:t>3. 剔除初期现金、保费预算或容量超额的组合。</w:t>
      </w:r>
    </w:p>
    <w:p>
      <w:pPr>
        <w:widowControl/>
      </w:pPr>
      <w:r>
        <w:rPr>
          <w:b w:val="0"/>
        </w:rPr>
        <w:t>4. 在三个价格模型上计算同一方案的平均及尾部成本。</w:t>
      </w:r>
    </w:p>
    <w:p>
      <w:pPr>
        <w:widowControl/>
      </w:pPr>
      <w:r>
        <w:rPr>
          <w:b w:val="0"/>
        </w:rPr>
        <w:t>5. 选择最不利候选模型下目标成本最低的可行方案，并展示其他预算可行档位。</w:t>
      </w:r>
    </w:p>
    <w:p>
      <w:pPr>
        <w:widowControl/>
      </w:pPr>
      <w:r>
        <w:rPr>
          <w:b w:val="0"/>
        </w:rPr>
        <w:t>共42种数量与时点组合，三个模型形成126条成本记录。选择仅在候选网格及三个模型内有效；未覆盖全部价格风险，也不是连续变量的全局最优。</w:t>
      </w:r>
    </w:p>
    <w:p>
      <w:r>
        <w:br w:type="page"/>
      </w:r>
    </w:p>
    <w:p>
      <w:pPr>
        <w:pStyle w:val="Heading1"/>
      </w:pPr>
      <w:r>
        <w:t>15 企业部分投保方案示例</w:t>
      </w:r>
    </w:p>
    <w:p>
      <w:pPr>
        <w:pStyle w:val="Heading2"/>
      </w:pPr>
      <w:r>
        <w:t>15 1 企业与费用假设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7200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假设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演示值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未锁价采购缺口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10,000吨 无可售余量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初期采购及保费资金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550,000元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保费预算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3,500元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假设保险人容量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10,000吨 待实际核验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企业年资金成本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6%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单边交易费率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0.1% 非实际收费报价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采购安排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先买5,000吨 剩余5,000吨固定20日窗口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保障条款</w:t>
            </w:r>
          </w:p>
        </w:tc>
        <w:tc>
          <w:tcPr>
            <w:tcW w:type="dxa" w:w="72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末5日均价 免赔2元 赔付80% 价差上限4.7483元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584"/>
        <w:gridCol w:w="2016"/>
        <w:gridCol w:w="2376"/>
        <w:gridCol w:w="2448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投保吨数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总缺口覆盖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保费 元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平均成本 元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尾部成本 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0.00%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953,722.59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997,882.92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1,250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12.50%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1,256.57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954,210.14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994,398.44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2,500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25.00%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2,263.14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954,446.24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990,662.51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3,750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37.50%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3,269.70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954,682.35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986,926.59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50.00%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4,276.27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954,918.45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983,190.66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尾部成本是基准模型最差5%情景的平均净成本。5,000吨投保方案保费4,276.27元，超过3,500元预算；其他四档可行。投保在本模拟中略提高平均成本，同时降低尾部成本。</w:t>
      </w:r>
    </w:p>
    <w:p>
      <w:pPr>
        <w:widowControl/>
      </w:pPr>
      <w:r>
        <w:rPr>
          <w:b/>
        </w:rPr>
        <w:t>采购日期固定20日、λ=0.5时，三个模型的保守比较选择先买5,000吨、后买5,000吨，其中投保3,750吨。总缺口覆盖37.5%，剩余采购覆盖75%，保费3,269.70元，最高赔款14,244.90元。</w:t>
      </w:r>
    </w:p>
    <w:p>
      <w:pPr>
        <w:widowControl/>
      </w:pPr>
      <w:r>
        <w:rPr>
          <w:b w:val="0"/>
        </w:rPr>
        <w:t>3,750吨不是按行业经验直接指定，而是在演示数量网格、保费预算和风险目标约束下选出。改变费用、采购日期或风险权重时须重新求解。</w:t>
      </w:r>
    </w:p>
    <w:p>
      <w:r>
        <w:br w:type="page"/>
      </w:r>
    </w:p>
    <w:p>
      <w:pPr>
        <w:pStyle w:val="Heading1"/>
      </w:pPr>
      <w:r>
        <w:t>16 采购时点与压力情景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1080"/>
        <w:gridCol w:w="1584"/>
        <w:gridCol w:w="1584"/>
        <w:gridCol w:w="2232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偏好或限制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未来窗口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先买吨数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投保吨数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保费 元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期望成本优先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适度控制尾部成本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2,227.88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采购日期固定20日且控制尾部成本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3,750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3,269.70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本组假设中，允许10日窗口采购时，期望成本优先方案不投保；控制尾部成本时，提前买5,000吨，未来5,000吨全部安排保障，覆盖总缺口50%，示范保费2,227.88元。此方案由提前采购和保险共同分担价格风险。</w:t>
      </w:r>
    </w:p>
    <w:p>
      <w:pPr>
        <w:pStyle w:val="Heading2"/>
      </w:pPr>
      <w:r>
        <w:t>16 1 总保费变动的影响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1944"/>
        <w:gridCol w:w="2304"/>
        <w:gridCol w:w="3672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倍率假设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未来窗口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投保吨数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调整后保费 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2,227.88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1.5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5,000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3,341.82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2.0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3,750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3,466.82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倍率是报价敏感性假设，没有用历史1.845倍差异校准。总保费变成2倍时，3,500元预算使候选投保量降为3,750吨。</w:t>
      </w:r>
    </w:p>
    <w:p>
      <w:pPr>
        <w:pStyle w:val="Heading2"/>
      </w:pPr>
      <w:r>
        <w:t>16 2 固定20日方案的压力情景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0"/>
        <w:gridCol w:w="2664"/>
        <w:gridCol w:w="3240"/>
      </w:tblGrid>
      <w:tr>
        <w:trPr>
          <w:cantSplit/>
          <w:tblHeader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未来采购均价 元每吨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赔款 元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净成本 元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85.00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906,730.71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90.00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931,755.71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95.00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956,780.71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100.00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9,102.00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972,703.71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105.00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14,244.90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992,585.81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115.00</w:t>
            </w:r>
          </w:p>
        </w:tc>
        <w:tc>
          <w:tcPr>
            <w:tcW w:type="dxa" w:w="26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14,244.90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1,042,635.81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这些均价压力情景不参与原方案的选择。价格超过上沿后赔款封顶，企业净成本仍继续上涨。表内未假设可在压力情景中事后调整采购日期。</w:t>
      </w:r>
    </w:p>
    <w:p>
      <w:r>
        <w:br w:type="page"/>
      </w:r>
    </w:p>
    <w:p>
      <w:pPr>
        <w:pStyle w:val="Heading1"/>
      </w:pPr>
      <w:r>
        <w:t>17 富余配额出售规则</w:t>
      </w:r>
    </w:p>
    <w:p>
      <w:pPr>
        <w:pStyle w:val="Heading2"/>
      </w:pPr>
      <w:r>
        <w:t>17 1 可售余量与利润口径</w:t>
      </w:r>
    </w:p>
    <w:p>
      <w:pPr>
        <w:widowControl/>
      </w:pPr>
      <w:r>
        <w:rPr>
          <w:b w:val="0"/>
        </w:rPr>
        <w:t>另一演示企业持有22,000吨，履约及安全缓冲预留20,000吨，无受限库存，可售2,000吨。它与采购缺口企业是两个独立案例，不能将结果相加解释为无风险套利。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N</m:t>
            </m:r>
          </m:e>
          <m:sub>
            <m:r>
              <m:t xml:space="preserve">τ</m:t>
            </m:r>
          </m:sub>
        </m:sSub>
        <m:r>
          <m:t xml:space="preserve">=</m:t>
        </m:r>
        <m:func>
          <m:fName>
            <m:r>
              <m:rPr>
                <m:sty m:val="p"/>
              </m:rPr>
              <m:t xml:space="preserve">exp</m:t>
            </m:r>
          </m:fName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sSub>
                  <m:e>
                    <m:r>
                      <m:t xml:space="preserve">r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t xml:space="preserve">τ</m:t>
                </m:r>
              </m:e>
            </m:d>
          </m:e>
        </m:func>
        <m:r>
          <m:t xml:space="preserve">V</m:t>
        </m:r>
        <m:sSub>
          <m:e>
            <m:r>
              <m:t xml:space="preserve">S</m:t>
            </m:r>
          </m:e>
          <m:sub>
            <m:r>
              <m:t xml:space="preserve">τ</m:t>
            </m:r>
          </m:sub>
        </m:sSub>
        <m:r>
          <m:t xml:space="preserve">(1−f)</m:t>
        </m:r>
      </m:oMath>
      <w:r>
        <w:rPr>
          <w:sz w:val="18"/>
        </w:rPr>
        <w:tab/>
        <w:t>（32）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卖出利润=净出售回款−取得成本−其他未计费用</m:t>
        </m:r>
      </m:oMath>
      <w:r>
        <w:rPr>
          <w:sz w:val="18"/>
        </w:rPr>
        <w:tab/>
        <w:t>（33）</w:t>
      </w:r>
    </w:p>
    <w:p>
      <w:pPr>
        <w:widowControl/>
      </w:pPr>
      <w:r>
        <w:rPr>
          <w:b w:val="0"/>
        </w:rPr>
        <w:t>本轮缺少取得成本及未来自用价值，输出回款不输出利润率。其他未计费用包括尚未扣除的相关费用及税费；已计入净回款的交易费用不再扣一次。资金时间价值已通过折现计入，同一资金成本不应重复扣除。结转、年份及账户限制还需按实际配额核验。</w:t>
      </w:r>
    </w:p>
    <w:p>
      <w:pPr>
        <w:pStyle w:val="Heading2"/>
      </w:pPr>
      <w:r>
        <w:t>17 2 比较的出售规则</w:t>
      </w:r>
    </w:p>
    <w:p>
      <w:pPr>
        <w:widowControl/>
      </w:pPr>
      <w:r>
        <w:rPr>
          <w:b w:val="0"/>
        </w:rPr>
        <w:t>1. 在研究起点出售全部已核验可售余量。</w:t>
      </w:r>
    </w:p>
    <w:p>
      <w:pPr>
        <w:widowControl/>
      </w:pPr>
      <w:r>
        <w:rPr>
          <w:b w:val="0"/>
        </w:rPr>
        <w:t>2. 预先约定第10或20交易日出售。</w:t>
      </w:r>
    </w:p>
    <w:p>
      <w:pPr>
        <w:widowControl/>
      </w:pPr>
      <w:r>
        <w:rPr>
          <w:b w:val="0"/>
        </w:rPr>
        <w:t>3. 收盘达到98、100或105元后，下一交易日执行；最迟第20日出售。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max  </m:t>
        </m:r>
        <m:func>
          <m:fName>
            <m:r>
              <m:rPr>
                <m:sty m:val="p"/>
              </m:rPr>
              <m:t xml:space="preserve">E</m:t>
            </m:r>
          </m:fName>
          <m:e>
            <m:d>
              <m:dPr>
                <m:begChr m:val="("/>
                <m:endChr m:val=")"/>
              </m:dPr>
              <m:e>
                <m:r>
                  <m:t xml:space="preserve">N</m:t>
                </m:r>
              </m:e>
            </m:d>
          </m:e>
        </m:func>
        <m:r>
          <m:t xml:space="preserve">−λ</m:t>
        </m:r>
        <m:d>
          <m:dPr>
            <m:begChr m:val="("/>
            <m:endChr m:val=")"/>
          </m:dPr>
          <m:e>
            <m:func>
              <m:fName>
                <m:r>
                  <m:rPr>
                    <m:sty m:val="p"/>
                  </m:rPr>
                  <m:t xml:space="preserve">E</m:t>
                </m:r>
              </m:fName>
              <m:e>
                <m:d>
                  <m:dPr>
                    <m:begChr m:val="("/>
                    <m:endChr m:val=")"/>
                  </m:dPr>
                  <m:e>
                    <m:r>
                      <m:t xml:space="preserve">N</m:t>
                    </m:r>
                  </m:e>
                </m:d>
              </m:e>
            </m:func>
            <m:r>
              <m:t xml:space="preserve">−</m:t>
            </m:r>
            <m:sSub>
              <m:e>
                <m:r>
                  <m:t xml:space="preserve">LCVaR</m:t>
                </m:r>
              </m:e>
              <m:sub>
                <m:r>
                  <m:t xml:space="preserve">95%</m:t>
                </m:r>
              </m:sub>
            </m:sSub>
            <m:r>
              <m:t xml:space="preserve">(N)</m:t>
            </m:r>
          </m:e>
        </m:d>
      </m:oMath>
      <w:r>
        <w:rPr>
          <w:sz w:val="18"/>
        </w:rPr>
        <w:tab/>
        <w:t>（34）</w:t>
      </w:r>
    </w:p>
    <w:p>
      <w:pPr>
        <w:widowControl/>
      </w:pPr>
      <w:r>
        <w:rPr>
          <w:b w:val="0"/>
        </w:rPr>
        <w:t>LCVaR为最差5%回款情景的均值。选择采用三个模型中最不利的目标回款。阈值只能依据已观察价格触发，实际执行在下一交易日，不能把当天已经结束的收盘价认定为一定可成交。</w:t>
      </w:r>
    </w:p>
    <w:p>
      <w:pPr>
        <w:widowControl/>
      </w:pPr>
      <w:r>
        <w:rPr>
          <w:b w:val="0"/>
        </w:rPr>
        <w:t>还可扩展分批出售，例如先变现部分余量，其余按条件出售。本轮完成整批出售规则比较，分批比例、订单簿与实际滑点尚需单独优化。</w:t>
      </w:r>
    </w:p>
    <w:p>
      <w:r>
        <w:br w:type="page"/>
      </w:r>
    </w:p>
    <w:p>
      <w:pPr>
        <w:pStyle w:val="Heading1"/>
      </w:pPr>
      <w:r>
        <w:t>18 富余配额出售结果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96"/>
        <w:gridCol w:w="2592"/>
        <w:gridCol w:w="2160"/>
        <w:gridCol w:w="201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规则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平均回款现值 元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较立即出售 元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更差的模拟比例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立即出售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189,730.08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0.00%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第10日出售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189,162.66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-567.42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55.38%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第20日出售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188,831.16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-898.92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54.76%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98元触发次日执行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189,115.33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-614.75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48.09%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100元触发次日执行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188,932.72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-797.36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53.89%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105元触发次日执行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188,838.32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-891.76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54.76%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基准模型下等待策略没有抵消资金成本，三个模型的保守比较也选择尽早出售。此结论针对9月30日冻结起点、6%资金成本、0.1%单边费用及2,000吨已核验余量，不构成10月9日卖出指令。</w:t>
      </w:r>
    </w:p>
    <w:p>
      <w:pPr>
        <w:pStyle w:val="Heading2"/>
      </w:pPr>
      <w:r>
        <w:t>18 1 模型分歧</w:t>
      </w:r>
    </w:p>
    <w:p>
      <w:pPr>
        <w:widowControl/>
      </w:pPr>
      <w:r>
        <w:rPr>
          <w:b w:val="0"/>
        </w:rPr>
        <w:t>漂移收缩模型对20日等待的平均优势为600.83元，但有47.98%的路径回款低于立即出售。价格上涨预期改变会改变等待的评价，不能只凭一个模型确定最佳卖点。</w:t>
      </w:r>
    </w:p>
    <w:p>
      <w:pPr>
        <w:pStyle w:val="Heading2"/>
      </w:pPr>
      <w:r>
        <w:t>18 2 企业可接受的输出</w:t>
      </w:r>
    </w:p>
    <w:p>
      <w:pPr>
        <w:widowControl/>
      </w:pPr>
      <w:r>
        <w:rPr>
          <w:b w:val="0"/>
        </w:rPr>
        <w:t>智能体应展示可售量、预留依据、出售条件、平均回款、较立即出售差额、下行回款和现金需求。如果真实企业急需现金，当前变现价值可能更高；若未来可能自用配额，出售后的补购机会成本也必须计入。</w:t>
      </w:r>
    </w:p>
    <w:p>
      <w:pPr>
        <w:widowControl/>
      </w:pPr>
      <w:r>
        <w:rPr>
          <w:b w:val="0"/>
        </w:rPr>
        <w:t>采购成本上涨保险不覆盖卖价下跌。企业若希望保障售碳收入，需要另行建立下跌赔付责任，采集可售数量及取得成本，再单独测算保费与承保利益。</w:t>
      </w:r>
    </w:p>
    <w:p>
      <w:r>
        <w:br w:type="page"/>
      </w:r>
    </w:p>
    <w:p>
      <w:pPr>
        <w:pStyle w:val="Heading1"/>
      </w:pPr>
      <w:r>
        <w:t>19 智能体企业交互与输出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5040"/>
        <w:gridCol w:w="4032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采集内容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企业身份 行业 履约年度 信息时点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选择适用资料与核验规则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应清缴量 可用资源 已锁价采购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计算净采购需求并去重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其他阶段及已有保障的分配量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防止同一需求重复保障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采购数量 日期 交付安排 可否提前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构造可行采购窗口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现金及保费预算 融资成本 风险偏好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选择投保及采购方案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可交易库存 受限量 履约预留 缓冲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计算候选可售余量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取得成本 未来用途 费用 执行价差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计算出售利润与真实净成本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0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条款选择 保险人报价 容量 核验状态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生成待核验方案及最终报价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每个重要字段记录数值、单位、适用年度、信息时点、来源及证据编号。资料未知保持未知；明确为零才作为零计算。预测、企业陈述与已核验数值分别标记。</w:t>
      </w:r>
    </w:p>
    <w:p>
      <w:pPr>
        <w:pStyle w:val="Heading2"/>
      </w:pPr>
      <w:r>
        <w:t>19 1 输出给企业的方案字段</w:t>
      </w:r>
    </w:p>
    <w:p>
      <w:pPr>
        <w:widowControl/>
      </w:pPr>
      <w:r>
        <w:rPr>
          <w:b w:val="0"/>
        </w:rPr>
        <w:t>提前采购量、未来采购量与窗口、投保吨数、总缺口与剩余采购覆盖率、每吨赔付比例、最高赔款、保费、初期现金、平均及尾部成本、可售量、出售规则、净回款与风险、和基准方案的差额。应同时列出约束原因及尚待核验字段。</w:t>
      </w:r>
    </w:p>
    <w:p>
      <w:pPr>
        <w:pStyle w:val="Heading2"/>
      </w:pPr>
      <w:r>
        <w:t>19 2 状态与数量台账</w:t>
      </w:r>
    </w:p>
    <w:p>
      <w:pPr>
        <w:widowControl/>
      </w:pPr>
      <w:r>
        <w:rPr>
          <w:b w:val="0"/>
        </w:rPr>
        <w:t>流程依次为资料收集中、研究示例、待核验方案、条款及容量确认、正式报价。统一台账按企业、履约年度和需求批次预占数量，待确认申请也预占；确认时原子占用，取消时释放，资源或采购变化后重新计算。</w:t>
      </w:r>
    </w:p>
    <w:p>
      <w:pPr>
        <w:widowControl/>
      </w:pPr>
      <w:r>
        <w:rPr>
          <w:b w:val="0"/>
        </w:rPr>
        <w:t>现有JSON为交互配置，Python为计算原型；正式界面、证据系统与并发台账尚未接入。缺少库存或履约预留时不生成可执行出售量，缺少取得成本时不输出出售利润。</w:t>
      </w:r>
    </w:p>
    <w:p>
      <w:r>
        <w:br w:type="page"/>
      </w:r>
    </w:p>
    <w:p>
      <w:pPr>
        <w:pStyle w:val="Heading1"/>
      </w:pPr>
      <w:r>
        <w:t>20 期货辅助风险管理</w:t>
      </w:r>
    </w:p>
    <w:p>
      <w:pPr>
        <w:pStyle w:val="Heading2"/>
      </w:pPr>
      <w:r>
        <w:t>20 1 期货对保险人的作用</w:t>
      </w:r>
    </w:p>
    <w:p>
      <w:pPr>
        <w:widowControl/>
      </w:pPr>
      <w:r>
        <w:rPr>
          <w:b w:val="0"/>
        </w:rPr>
        <w:t>保险赔款按CEA现货指数计算。只有在具备经核验的可交易合约、权限、流动性和风险管理条件时，才能研究用期货降低保险人的价格风险。现有数据没有输入可用于本产品的已核验期货成交、基差、费用或保证金参数，本版对冲收益按零计。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F</m:t>
            </m:r>
          </m:e>
          <m:sub>
            <m:r>
              <m:t xml:space="preserve">model</m:t>
            </m:r>
          </m:sub>
        </m:sSub>
        <m:r>
          <m:t xml:space="preserve">=</m:t>
        </m:r>
        <m:sSub>
          <m:e>
            <m:r>
              <m:t xml:space="preserve">S</m:t>
            </m:r>
          </m:e>
          <m:sub>
            <m:r>
              <m:t xml:space="preserve">0</m:t>
            </m:r>
          </m:sub>
        </m:sSub>
        <m:func>
          <m:fName>
            <m:r>
              <m:rPr>
                <m:sty m:val="p"/>
              </m:rPr>
              <m:t xml:space="preserve">exp</m:t>
            </m:r>
          </m:fName>
          <m:e>
            <m:d>
              <m:dPr>
                <m:begChr m:val="("/>
                <m:endChr m:val=")"/>
              </m:dPr>
              <m:e>
                <m:d>
                  <m:dPr>
                    <m:begChr m:val="("/>
                    <m:endChr m:val=")"/>
                  </m:dPr>
                  <m:e>
                    <m:r>
                      <m:t xml:space="preserve">r＋u−y</m:t>
                    </m:r>
                  </m:e>
                </m:d>
                <m:r>
                  <m:t xml:space="preserve">τ</m:t>
                </m:r>
              </m:e>
            </m:d>
          </m:e>
        </m:func>
        <m:r>
          <m:t xml:space="preserve">＋b</m:t>
        </m:r>
      </m:oMath>
      <w:r>
        <w:rPr>
          <w:sz w:val="18"/>
        </w:rPr>
        <w:tab/>
        <w:t>（35）</w:t>
      </w:r>
    </w:p>
    <w:p>
      <w:pPr>
        <w:widowControl/>
      </w:pPr>
      <w:r>
        <w:rPr>
          <w:b w:val="0"/>
        </w:rPr>
        <w:t>该式只能在明确持有成本u、便利收益y、基差调整b及市场约束的假设下提供理论参考。它不是交易所报价，不等于现货价格预测，也不能证明合约可交易或保险可复制。碳配额年份、结转和流动性可能影响该近似。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G</m:t>
            </m:r>
          </m:e>
          <m:sub>
            <m:r>
              <m:t xml:space="preserve">hedge</m:t>
            </m:r>
          </m:sub>
        </m:sSub>
        <m:r>
          <m:t xml:space="preserve">=q</m:t>
        </m:r>
        <m:d>
          <m:dPr>
            <m:begChr m:val="("/>
            <m:endChr m:val=")"/>
          </m:dPr>
          <m:e>
            <m:sSub>
              <m:e>
                <m:r>
                  <m:t xml:space="preserve">F</m:t>
                </m:r>
              </m:e>
              <m:sub>
                <m:r>
                  <m:t xml:space="preserve">T</m:t>
                </m:r>
              </m:sub>
            </m:sSub>
            <m:r>
              <m:t xml:space="preserve">−</m:t>
            </m:r>
            <m:sSub>
              <m:e>
                <m:r>
                  <m:t xml:space="preserve">F</m:t>
                </m:r>
              </m:e>
              <m:sub>
                <m:r>
                  <m:t xml:space="preserve">0</m:t>
                </m:r>
              </m:sub>
            </m:sSub>
          </m:e>
        </m:d>
      </m:oMath>
      <w:r>
        <w:rPr>
          <w:sz w:val="18"/>
        </w:rPr>
        <w:tab/>
        <w:t>（36）</w:t>
      </w:r>
    </w:p>
    <w:p>
      <w:pPr>
        <w:tabs>
          <w:tab w:pos="9576" w:val="right"/>
        </w:tabs>
        <w:spacing w:before="60" w:after="140"/>
        <w:ind w:left="115"/>
      </w:pPr>
      <m:oMath>
        <m:sSub>
          <m:e>
            <m:r>
              <m:t xml:space="preserve">L</m:t>
            </m:r>
          </m:e>
          <m:sub>
            <m:r>
              <m:t xml:space="preserve">residual</m:t>
            </m:r>
          </m:sub>
        </m:sSub>
        <m:r>
          <m:t xml:space="preserve">=L−</m:t>
        </m:r>
        <m:sSub>
          <m:e>
            <m:r>
              <m:t xml:space="preserve">G</m:t>
            </m:r>
          </m:e>
          <m:sub>
            <m:r>
              <m:t xml:space="preserve">hedge</m:t>
            </m:r>
          </m:sub>
        </m:sSub>
        <m:r>
          <m:t xml:space="preserve">＋执行及融资成本</m:t>
        </m:r>
      </m:oMath>
      <w:r>
        <w:rPr>
          <w:sz w:val="18"/>
        </w:rPr>
        <w:tab/>
        <w:t>（37）</w:t>
      </w:r>
    </w:p>
    <w:p>
      <w:pPr>
        <w:tabs>
          <w:tab w:pos="9576" w:val="right"/>
        </w:tabs>
        <w:spacing w:before="60" w:after="140"/>
        <w:ind w:left="115"/>
      </w:pPr>
      <m:oMath>
        <m:r>
          <m:t xml:space="preserve">q*=</m:t>
        </m:r>
        <m:f>
          <m:num>
            <m:func>
              <m:fName>
                <m:r>
                  <m:rPr>
                    <m:sty m:val="p"/>
                  </m:rPr>
                  <m:t xml:space="preserve">Cov</m:t>
                </m:r>
              </m:fName>
              <m:e>
                <m:d>
                  <m:dPr>
                    <m:begChr m:val="("/>
                    <m:endChr m:val=")"/>
                  </m:dPr>
                  <m:e>
                    <m:r>
                      <m:t xml:space="preserve">L,ΔF</m:t>
                    </m:r>
                  </m:e>
                </m:d>
              </m:e>
            </m:func>
          </m:num>
          <m:den>
            <m:func>
              <m:fName>
                <m:r>
                  <m:rPr>
                    <m:sty m:val="p"/>
                  </m:rPr>
                  <m:t xml:space="preserve">Var</m:t>
                </m:r>
              </m:fName>
              <m:e>
                <m:d>
                  <m:dPr>
                    <m:begChr m:val="("/>
                    <m:endChr m:val=")"/>
                  </m:dPr>
                  <m:e>
                    <m:r>
                      <m:t xml:space="preserve">ΔF</m:t>
                    </m:r>
                  </m:e>
                </m:d>
              </m:e>
            </m:func>
          </m:den>
        </m:f>
      </m:oMath>
      <w:r>
        <w:rPr>
          <w:sz w:val="18"/>
        </w:rPr>
        <w:tab/>
        <w:t>（38）</w:t>
      </w:r>
    </w:p>
    <w:p>
      <w:pPr>
        <w:widowControl/>
      </w:pPr>
      <w:r>
        <w:rPr>
          <w:b w:val="0"/>
        </w:rPr>
        <w:t>保险人赔款随价格上涨增加，正相关时理论对冲方向为多头。实际数量需受交易权限、流动性、保证金和容量限制；封顶赔款与线性期货收益不同，不能保证全额复制。对冲需另测基差、追保流动性和净风险成本。</w:t>
      </w:r>
    </w:p>
    <w:p>
      <w:pPr>
        <w:pStyle w:val="Heading2"/>
      </w:pPr>
      <w:r>
        <w:t>20 2 降费前的证据</w:t>
      </w:r>
    </w:p>
    <w:p>
      <w:pPr>
        <w:widowControl/>
      </w:pPr>
      <w:r>
        <w:rPr>
          <w:b w:val="0"/>
        </w:rPr>
        <w:t>只有对冲后的赔款与资本成本节省超过交易、基差和融资成本，并通过实际可执行性验证时，才能研究把节省反映到保费。未经验证的理论期货价不用于本版保险加价或折扣。</w:t>
      </w:r>
    </w:p>
    <w:p>
      <w:r>
        <w:br w:type="page"/>
      </w:r>
    </w:p>
    <w:p>
      <w:pPr>
        <w:pStyle w:val="Heading1"/>
      </w:pPr>
      <w:r>
        <w:t>21 实施顺序与验收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3744"/>
        <w:gridCol w:w="446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当前成果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下一项验收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P0 限额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净需求公式 数量校验 交互字段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真实企业资料去重 容量授权 数量台账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P1 价格责任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采价 免赔 比例 价差上限 边界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采购窗口匹配 价格来源 舍入及异常处理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P2 保费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共享路径 定价 回放及敏感性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低估校准 独立验证 实际费用与资本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P3 企业决策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42组合 6种出售规则 压力情景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执行价差 需求误差 资金及策略回放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P4 产品接入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计算原型与交互配置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界面 核验 并发台账 变更及理赔流程</w:t>
            </w:r>
          </w:p>
        </w:tc>
      </w:tr>
    </w:tbl>
    <w:p>
      <w:pPr>
        <w:spacing w:after="20"/>
      </w:pPr>
    </w:p>
    <w:p>
      <w:pPr>
        <w:pStyle w:val="Heading2"/>
      </w:pPr>
      <w:r>
        <w:t>21 1 已完成的计算校验</w:t>
      </w:r>
    </w:p>
    <w:p>
      <w:pPr>
        <w:widowControl/>
      </w:pPr>
      <w:r>
        <w:rPr>
          <w:b w:val="0"/>
        </w:rPr>
        <w:t>资料未知、负数量、无效日期、无需求、申请超额和容量错误均有处理。赔款触发及封顶、分阶段数量之和、企业投保量不超过未来采购、次交易日出售触发和产品与企业报价共用路径已检查。计算通过不能代替统计校准或商业承保批准。</w:t>
      </w:r>
    </w:p>
    <w:p>
      <w:pPr>
        <w:pStyle w:val="Heading2"/>
      </w:pPr>
      <w:r>
        <w:t>21 2 正式条款仍需确认</w:t>
      </w:r>
    </w:p>
    <w:p>
      <w:pPr>
        <w:widowControl/>
      </w:pPr>
      <w:r>
        <w:rPr>
          <w:b w:val="0"/>
        </w:rPr>
        <w:t>固定行情源、交易品种、收盘定义、报价时点、数据更正流程；采价窗口必须在责任期间内且事先约定。价格缺失时按预定异常流程处理，本模拟没有假设任意前向填充。</w:t>
      </w:r>
    </w:p>
    <w:p>
      <w:pPr>
        <w:widowControl/>
      </w:pPr>
      <w:r>
        <w:rPr>
          <w:b w:val="0"/>
        </w:rPr>
        <w:t>统一小数位及舍入顺序；本报告计算保留全精度、展示四舍五入，最终舍入规则会影响边界和报价。确认采购变更、数量核验、重复保障、利益核验、赔款到账时间和证据要求。</w:t>
      </w:r>
    </w:p>
    <w:p>
      <w:pPr>
        <w:pStyle w:val="Heading2"/>
      </w:pPr>
      <w:r>
        <w:t>21 3 当前报价状态</w:t>
      </w:r>
    </w:p>
    <w:p>
      <w:pPr>
        <w:widowControl/>
      </w:pPr>
      <w:r>
        <w:rPr>
          <w:b w:val="0"/>
        </w:rPr>
        <w:t>真实企业输入、最新行情核验、保险人容量及真实费用、新的独立赔款和策略验证仍待完成。本版保留commercial_quote_allowed=false与live_trade_recommendation_allowed=false，研究结果可用于责任选择和模型校准。</w:t>
      </w:r>
    </w:p>
    <w:p>
      <w:r>
        <w:br w:type="page"/>
      </w:r>
    </w:p>
    <w:p>
      <w:pPr>
        <w:pStyle w:val="Heading1"/>
      </w:pPr>
      <w:r>
        <w:t>附录A 2026年日行情 1</w:t>
      </w:r>
    </w:p>
    <w:p>
      <w:pPr>
        <w:widowControl/>
      </w:pPr>
      <w:r>
        <w:rPr>
          <w:b w:val="0"/>
        </w:rPr>
        <w:t>本页列示第1至50条实际使用的价格。单位元/吨。官表示official_daily，转表示third_party_republication；完整来源网址和质量标记保留在CEA输入日行情.csv。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872"/>
        <w:gridCol w:w="1188"/>
        <w:gridCol w:w="1872"/>
        <w:gridCol w:w="1872"/>
        <w:gridCol w:w="118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收盘价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收盘价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2026-01-05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74.63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2026-01-06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74.63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2026-01-07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77.97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2026-01-08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78.61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2026-01-09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75.96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2026-01-12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78.31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2026-01-13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78.31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2026-01-14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72.50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2026-01-15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78.50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2026-01-16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78.50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2026-01-19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2026-01-20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73.00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2026-01-21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78.60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2026-01-22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77.27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2026-01-23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2026-01-26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81.79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2026-01-27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78.48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2026-01-28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78.57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2026-01-29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78.50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2026-01-30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2026-02-02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2026-02-03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2026-02-04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78.74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2026-02-05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78.74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2026-02-06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76.14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2026-02-09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80.56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2026-02-10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80.50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2026-02-11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78.70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2026-02-12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78.70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2026-02-13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78.70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2026-02-24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2026-02-25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2026-02-26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2026-02-27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80.50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2026-03-02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80.50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2026-03-03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80.55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2026-03-04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80.70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2026-03-05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81.85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2026-03-06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81.85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2026-03-09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82.80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2026-03-10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2026-03-11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2026-03-12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82.45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2026-03-13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81.83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2026-03-16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81.95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2026-03-17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81.58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2026-03-18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81.58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2026-03-19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80.18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2026-03-20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80.16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2026-03-23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80.80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附录A 2026年日行情 2</w:t>
      </w:r>
    </w:p>
    <w:p>
      <w:pPr>
        <w:widowControl/>
      </w:pPr>
      <w:r>
        <w:rPr>
          <w:b w:val="0"/>
        </w:rPr>
        <w:t>本页列示第51至100条实际使用的价格。单位元/吨。官表示official_daily，转表示third_party_republication；完整来源网址和质量标记保留在CEA输入日行情.csv。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872"/>
        <w:gridCol w:w="1188"/>
        <w:gridCol w:w="1872"/>
        <w:gridCol w:w="1872"/>
        <w:gridCol w:w="118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收盘价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收盘价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2026-03-24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80.22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2026-03-25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79.95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2026-03-26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79.75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2026-03-27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79.90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2026-03-30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79.91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2026-03-31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79.54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2026-04-01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79.54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2026-04-02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79.54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2026-04-03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79.87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2026-04-07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79.87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2026-04-08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79.55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2026-04-09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79.52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2026-04-10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79.50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2026-04-13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79.54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2026-04-14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79.52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2026-04-15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78.02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2026-04-16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78.93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2026-04-17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79.56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2026-04-20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78.61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2026-04-21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76.14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2026-04-22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75.81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2026-04-23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76.22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2026-04-24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77.59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2026-04-27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2026-04-28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78.30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2026-04-29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78.89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2026-04-30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79.50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2026-05-06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80.01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2026-05-07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80.00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2026-05-08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80.06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2026-05-11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81.06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2026-05-12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82.10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2026-05-13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82.56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2026-05-14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83.95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2026-05-15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84.91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2026-05-18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84.08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2026-05-19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82.64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2026-05-20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81.70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2026-05-21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80.43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2026-05-22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80.16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2026-05-25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80.09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2026-05-26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80.01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2026-05-27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80.06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2026-05-28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80.30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2026-05-29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80.77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2026-06-01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82.01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2026-06-02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81.84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2026-06-03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81.97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2026-06-04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82.03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2026-06-05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82.87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附录A 2026年日行情 3</w:t>
      </w:r>
    </w:p>
    <w:p>
      <w:pPr>
        <w:widowControl/>
      </w:pPr>
      <w:r>
        <w:rPr>
          <w:b w:val="0"/>
        </w:rPr>
        <w:t>本页列示第101至150条实际使用的价格。单位元/吨。官表示official_daily，转表示third_party_republication；完整来源网址和质量标记保留在CEA输入日行情.csv。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872"/>
        <w:gridCol w:w="1188"/>
        <w:gridCol w:w="1872"/>
        <w:gridCol w:w="1872"/>
        <w:gridCol w:w="118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收盘价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收盘价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2026-06-08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82.25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2026-06-09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82.30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2026-06-10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81.64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2026-06-11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81.23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2026-06-12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81.42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2026-06-15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81.45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2026-06-16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81.81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2026-06-17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82.04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2026-06-18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82.34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2026-06-22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82.05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2026-06-23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82.41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2026-06-24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82.68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2026-06-25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83.12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2026-06-26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83.11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2026-06-29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83.14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2026-06-30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83.34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2026-07-01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83.90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2026-07-02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84.82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2026-07-03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85.72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2026-07-06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86.22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2026-07-07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86.36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2026-07-08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86.24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2026-07-09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86.21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2026-07-10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86.95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2026-07-13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87.42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2026-07-14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87.89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2026-07-15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89.81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2026-07-16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90.13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2026-07-17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90.02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2026-07-20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90.15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2026-07-21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90.54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2026-07-22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91.03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2026-07-23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92.54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2026-07-24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93.58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2026-07-27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93.77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2026-07-28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94.67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2026-07-29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95.65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2026-07-30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96.61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2026-07-31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98.59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2026-08-03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99.69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2026-08-04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98.56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2026-08-05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97.56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2026-08-06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97.44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2026-08-07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98.54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2026-08-10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98.52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2026-08-11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98.32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2026-08-12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98.31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2026-08-13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98.15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2026-08-14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98.21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2026-08-17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97.60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附录A 2026年日行情 4</w:t>
      </w:r>
    </w:p>
    <w:p>
      <w:pPr>
        <w:widowControl/>
      </w:pPr>
      <w:r>
        <w:rPr>
          <w:b w:val="0"/>
        </w:rPr>
        <w:t>本页列示第151至181条实际使用的价格。单位元/吨。官表示official_daily，转表示third_party_republication；完整来源网址和质量标记保留在CEA输入日行情.csv。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872"/>
        <w:gridCol w:w="1188"/>
        <w:gridCol w:w="1872"/>
        <w:gridCol w:w="1872"/>
        <w:gridCol w:w="118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收盘价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收盘价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19"/>
              </w:rPr>
              <w:t>来源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2026-08-18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97.41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2026-08-19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97.40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2026-08-20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97.81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2026-08-21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97.97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2026-08-24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97.82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2026-08-25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98.32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2026-08-26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98.52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2026-08-27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98.52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2026-08-28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98.50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2026-08-31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97.90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2026-09-01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97.02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2026-09-02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95.45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2026-09-03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94.40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2026-09-04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93.66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2026-09-07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92.86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2026-09-08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94.95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2026-09-09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96.26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2026-09-10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95.90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2026-09-11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94.84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2026-09-14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95.64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2026-09-15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96.23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2026-09-16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95.89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2026-09-17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95.89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2026-09-18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95.63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2026-09-21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95.64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2026-09-22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95.41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2026-09-23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95.20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2026-09-24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94.99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2026-09-28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94.80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2026-09-29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94.88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2026-09-30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94.96</w:t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  <w:t>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1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以上181条用于本版研究。行业排放量与企业配额数据尚未以真实企业输入形式取得，文中100万吨等企业值属于演示假设，不列入行情数据。</w:t>
      </w:r>
    </w:p>
    <w:p>
      <w:r>
        <w:br w:type="page"/>
      </w:r>
    </w:p>
    <w:p>
      <w:pPr>
        <w:pStyle w:val="Heading1"/>
      </w:pPr>
      <w:r>
        <w:t>附录B 定价与企业方案算法</w:t>
      </w:r>
    </w:p>
    <w:p>
      <w:pPr>
        <w:pStyle w:val="Heading2"/>
      </w:pPr>
      <w:r>
        <w:t>B 1 统一情景与产品定价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>读取2026连续收盘价及来源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>计算起点前60个对数收益和中心化收益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>固定seed = 2026100903  M = 100000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>对三个候选模型共用区块起点 生成60日路径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>对h ∈ {10,20,40,60}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X = 路径第h-4至h日价格均值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L = η × Q × clip(X-K-d, 0, c)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pure = exp(-r×日历天数/365) × mean(L)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EC = max(最差0.5%赔款均值-mean(L), 0)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capital = k × 日历天数/365 × EC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premium = (pure+capital+200+模型附加)/0.8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>主保单使用同一路径各阶段赔款之和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>纯保费分阶段折现 固定费一次 资本持有至末阶段</w:t>
      </w:r>
    </w:p>
    <w:p>
      <w:pPr>
        <w:pStyle w:val="Heading2"/>
      </w:pPr>
      <w:r>
        <w:t>B 2 企业采购与部分投保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>对未来窗口h ∈ {10,20}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对提前买入比例β ∈ {0,0.25,0.5,0.75,1}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    对剩余采购投保比例α ∈ {0,0.25,0.5,0.75,1}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        q0 = βD  Qins = α(D-q0)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        计算保费 初期现金与容量约束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        对三个模型计算同一方案的净成本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 xml:space="preserve">            目标 = E[C]+λ(CVaR95(C)-E[C])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>选择最不利模型下目标最低的预算可行组合</w:t>
      </w:r>
    </w:p>
    <w:p>
      <w:pPr>
        <w:spacing w:after="20" w:line="247" w:lineRule="auto"/>
      </w:pPr>
      <w:r>
        <w:rPr>
          <w:rFonts w:ascii="Consolas" w:hAnsi="Consolas" w:eastAsia="宋体"/>
          <w:sz w:val="19"/>
        </w:rPr>
        <w:t>保留其他可行档位 展示约束和未核验字段</w:t>
      </w:r>
    </w:p>
    <w:p>
      <w:pPr>
        <w:widowControl/>
      </w:pPr>
      <w:r>
        <w:rPr>
          <w:b w:val="0"/>
        </w:rPr>
        <w:t>程序入口prepare_cea_complete_plan_20261009.py；依赖Python、NumPy和包内辅助文件。重算会更新data目录及统一计算结果.json。图文主文件由build_cea_complete_plan_20261009.py生成，Word公式为原生Office数学格式。</w:t>
      </w:r>
    </w:p>
    <w:p>
      <w:r>
        <w:br w:type="page"/>
      </w:r>
    </w:p>
    <w:p>
      <w:pPr>
        <w:pStyle w:val="Heading1"/>
      </w:pPr>
      <w:r>
        <w:t>附录C 数据文件与来源</w:t>
      </w:r>
    </w:p>
    <w:p>
      <w:pPr>
        <w:pStyle w:val="Heading2"/>
      </w:pPr>
      <w:r>
        <w:t>C 1 主要数据文件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5616"/>
      </w:tblGrid>
      <w:tr>
        <w:trPr>
          <w:cantSplit/>
          <w:tblHeader/>
        </w:trPr>
        <w:tc>
          <w:tcPr>
            <w:tcW w:type="dxa" w:w="42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left"/>
            </w:pPr>
            <w:r>
              <w:rPr>
                <w:b/>
                <w:sz w:val="20"/>
              </w:rPr>
              <w:t>文件组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DCE6F1"/>
          </w:tcPr>
          <w:p>
            <w:pPr>
              <w:spacing w:before="20" w:after="40" w:line="250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CEA输入日行情.csv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原始价格 日期 来源网址 质量标记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统一行情预测及单期限保费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共享路径预测 分位 纯保费 资本及总保费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统一分阶段保障及计算结果JSON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阶段数量 最高赔款 联合风险与主保单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历史赔款预测记录及回放指标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每个起点的预测 价格重构赔款 算法比较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全部采购投保候选及演示采购方案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42方案 三模型成本 预算可行性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富余配额出售比较及演示出售方案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出售规则 净回款 下行风险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保费变动及采购压力情景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费用假设变化 价格85至115元情景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left"/>
            </w:pPr>
            <w:r>
              <w:rPr>
                <w:b w:val="0"/>
                <w:sz w:val="20"/>
              </w:rPr>
              <w:t>智能体输入流程及空白输入示例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6F7F9"/>
          </w:tcPr>
          <w:p>
            <w:pPr>
              <w:spacing w:before="20" w:after="40" w:line="250" w:lineRule="auto"/>
              <w:jc w:val="center"/>
            </w:pPr>
            <w:r>
              <w:rPr>
                <w:b w:val="0"/>
                <w:sz w:val="20"/>
              </w:rPr>
              <w:t>字段含义 待补资料 台账及正式报价要求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原行情文件SHA256为 cc3041eb296fb6f95884730e3cfcbad3695be2d4f951603b32aa634ab2da64b4。包内manifest.json列出实际交付文件的SHA256，可用于核对版本与复算资料。</w:t>
      </w:r>
    </w:p>
    <w:p>
      <w:pPr>
        <w:pStyle w:val="Heading2"/>
      </w:pPr>
      <w:r>
        <w:t>C 2 外部依据</w:t>
      </w:r>
    </w:p>
    <w:p>
      <w:pPr>
        <w:widowControl/>
      </w:pPr>
      <w:r>
        <w:rPr>
          <w:b w:val="0"/>
        </w:rPr>
        <w:t>[S1] 生态环境部 碳排放权交易管理暂行条例。用途：履约与配额购售 第十四条。核阅日期2026年10月9日。</w:t>
        <w:br/>
        <w:t>https://www.mee.gov.cn/zcwj/gwywj/202402/t20240205_1065850.shtml</w:t>
      </w:r>
    </w:p>
    <w:p>
      <w:pPr>
        <w:widowControl/>
      </w:pPr>
      <w:r>
        <w:rPr>
          <w:b w:val="0"/>
        </w:rPr>
        <w:t>[S2] 上海环境能源交易所 碳排放权交易管理规则试行。用途：全国市场可交易量及资金约束。核阅日期2026年10月9日。</w:t>
        <w:br/>
        <w:t>https://overview.cneeex.com/c/2021-05-17/491282.shtml</w:t>
      </w:r>
    </w:p>
    <w:p>
      <w:pPr>
        <w:widowControl/>
      </w:pPr>
      <w:r>
        <w:rPr>
          <w:b w:val="0"/>
        </w:rPr>
        <w:t>[S3] 太保 航运业欧盟碳排放成本价格指数保险2025版条款。用途：参考采价窗口及交易日均价设计。核阅日期2026年10月9日。</w:t>
        <w:br/>
        <w:t>https://www.cpic.com.cn/upload/resources/file/2026/04/14/94231.pdf</w:t>
      </w:r>
    </w:p>
    <w:p>
      <w:pPr>
        <w:widowControl/>
      </w:pPr>
      <w:r>
        <w:rPr>
          <w:b w:val="0"/>
        </w:rPr>
        <w:t>[S4] Actuarial Standards Board ASOP 53。用途：未来风险成本 费用及资本估计的方法参考。核阅日期2026年10月9日。</w:t>
        <w:br/>
        <w:t>https://www.actuarialstandardsboard.org/wp-content/uploads/2018/01/asop053_190.pdf</w:t>
      </w:r>
    </w:p>
    <w:p>
      <w:pPr>
        <w:widowControl/>
      </w:pPr>
      <w:r>
        <w:rPr>
          <w:b w:val="0"/>
        </w:rPr>
        <w:t>S3的欧盟期货指数保险与本CEA现货方案的条款及金额定义不同；S4不是中国监管标准。行情逐条来源以数据文件为准。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黑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CEA现货采购保险及企业购售决策完整方案</dc:title>
  <dc:subject>现货模型 保险定价与限额 企业采购投保 富余配额出售</dc:subject>
  <dc:creator>碳保险研究项目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