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sz w:val="28"/>
          <w:szCs w:val="28"/>
          <w:lang w:val="en-US" w:eastAsia="zh-CN"/>
        </w:rPr>
      </w:pPr>
      <w:r>
        <w:rPr>
          <w:rFonts w:hint="eastAsia"/>
          <w:sz w:val="28"/>
          <w:szCs w:val="28"/>
          <w:lang w:val="en-US" w:eastAsia="zh-CN"/>
        </w:rPr>
        <w:t>定义</w:t>
      </w:r>
    </w:p>
    <w:p>
      <w:pPr>
        <w:ind w:firstLine="420" w:firstLineChars="0"/>
        <w:rPr>
          <w:rFonts w:hint="eastAsia"/>
          <w:lang w:val="en-US" w:eastAsia="zh-CN"/>
        </w:rPr>
      </w:pPr>
      <w:r>
        <w:rPr>
          <w:rFonts w:hint="eastAsia"/>
          <w:lang w:val="en-US" w:eastAsia="zh-CN"/>
        </w:rPr>
        <w:t>一个对象的产生都是通过new关键字实现的(也有其他方式比如反射、复制等)，new的实现又是依托于构造函数的，默认一个类会自动生成一个无参的构造函数在不指定构造函数的情况下。构造函数一般是public修饰的，如果我们修饰狗造函数为private,那么就不能禁止外部创建对象了。这时外部想要实例化该类的话，私有构造函数的类可以提供相应的</w:t>
      </w:r>
      <w:r>
        <w:rPr>
          <w:rFonts w:hint="default"/>
          <w:lang w:val="en-US" w:eastAsia="zh-CN"/>
        </w:rPr>
        <w:t>”</w:t>
      </w:r>
      <w:r>
        <w:rPr>
          <w:rFonts w:hint="eastAsia"/>
          <w:lang w:val="en-US" w:eastAsia="zh-CN"/>
        </w:rPr>
        <w:t>接口</w:t>
      </w:r>
      <w:r>
        <w:rPr>
          <w:rFonts w:hint="default"/>
          <w:lang w:val="en-US" w:eastAsia="zh-CN"/>
        </w:rPr>
        <w:t>”</w:t>
      </w:r>
      <w:r>
        <w:rPr>
          <w:rFonts w:hint="eastAsia"/>
          <w:lang w:val="en-US" w:eastAsia="zh-CN"/>
        </w:rPr>
        <w:t>来返回自己的唯一实例供外部调用，这样就确保只生成一个实例的模式称为单例模式。</w:t>
      </w:r>
    </w:p>
    <w:p>
      <w:pPr>
        <w:ind w:firstLine="420" w:firstLineChars="0"/>
        <w:rPr>
          <w:rFonts w:hint="eastAsia"/>
          <w:lang w:val="en-US" w:eastAsia="zh-CN"/>
        </w:rPr>
      </w:pPr>
      <w:r>
        <w:rPr>
          <w:rFonts w:hint="eastAsia"/>
          <w:lang w:val="en-US" w:eastAsia="zh-CN"/>
        </w:rPr>
        <w:t>单例模式特点:</w:t>
      </w:r>
    </w:p>
    <w:p>
      <w:pPr>
        <w:numPr>
          <w:ilvl w:val="0"/>
          <w:numId w:val="2"/>
        </w:numPr>
        <w:ind w:left="420" w:leftChars="0" w:firstLine="420" w:firstLineChars="0"/>
        <w:rPr>
          <w:rFonts w:hint="eastAsia"/>
          <w:lang w:val="en-US" w:eastAsia="zh-CN"/>
        </w:rPr>
      </w:pPr>
      <w:r>
        <w:rPr>
          <w:rFonts w:hint="eastAsia"/>
          <w:lang w:val="en-US" w:eastAsia="zh-CN"/>
        </w:rPr>
        <w:t>只有一个实例</w:t>
      </w:r>
    </w:p>
    <w:p>
      <w:pPr>
        <w:numPr>
          <w:ilvl w:val="0"/>
          <w:numId w:val="2"/>
        </w:numPr>
        <w:ind w:left="420" w:leftChars="0" w:firstLine="420" w:firstLineChars="0"/>
        <w:rPr>
          <w:rFonts w:hint="default"/>
          <w:lang w:val="en-US" w:eastAsia="zh-CN"/>
        </w:rPr>
      </w:pPr>
      <w:r>
        <w:rPr>
          <w:rFonts w:hint="eastAsia"/>
          <w:lang w:val="en-US" w:eastAsia="zh-CN"/>
        </w:rPr>
        <w:t>自我实例化</w:t>
      </w:r>
    </w:p>
    <w:p>
      <w:pPr>
        <w:numPr>
          <w:ilvl w:val="0"/>
          <w:numId w:val="2"/>
        </w:numPr>
        <w:ind w:left="420" w:leftChars="0" w:firstLine="420" w:firstLineChars="0"/>
        <w:rPr>
          <w:rFonts w:hint="default"/>
          <w:lang w:val="en-US" w:eastAsia="zh-CN"/>
        </w:rPr>
      </w:pPr>
      <w:r>
        <w:rPr>
          <w:rFonts w:hint="eastAsia"/>
          <w:lang w:val="en-US" w:eastAsia="zh-CN"/>
        </w:rPr>
        <w:t>提供全局访问点(除了公共访问点之外，不能通过其他访问点访问改实例，假设一个类只能创建一个实例，那么该类就称为单例)</w:t>
      </w:r>
    </w:p>
    <w:p>
      <w:pPr>
        <w:numPr>
          <w:numId w:val="0"/>
        </w:numPr>
        <w:rPr>
          <w:rFonts w:hint="default"/>
          <w:lang w:val="en-US" w:eastAsia="zh-CN"/>
        </w:rPr>
      </w:pPr>
    </w:p>
    <w:p>
      <w:pPr>
        <w:pStyle w:val="2"/>
        <w:numPr>
          <w:ilvl w:val="0"/>
          <w:numId w:val="1"/>
        </w:numPr>
        <w:bidi w:val="0"/>
        <w:rPr>
          <w:rFonts w:hint="default"/>
          <w:b/>
          <w:sz w:val="28"/>
          <w:szCs w:val="28"/>
          <w:lang w:val="en-US" w:eastAsia="zh-CN"/>
        </w:rPr>
      </w:pPr>
      <w:r>
        <w:rPr>
          <w:rFonts w:hint="eastAsia"/>
          <w:b/>
          <w:sz w:val="28"/>
          <w:szCs w:val="28"/>
          <w:lang w:val="en-US" w:eastAsia="zh-CN"/>
        </w:rPr>
        <w:t>单例模式代码实现</w:t>
      </w:r>
    </w:p>
    <w:p>
      <w:pPr>
        <w:ind w:firstLine="420" w:firstLineChars="0"/>
        <w:rPr>
          <w:rFonts w:hint="eastAsia"/>
          <w:lang w:val="en-US" w:eastAsia="zh-CN"/>
        </w:rPr>
      </w:pPr>
      <w:r>
        <w:rPr>
          <w:rFonts w:hint="eastAsia"/>
          <w:lang w:val="en-US" w:eastAsia="zh-CN"/>
        </w:rPr>
        <w:t>单例类通常包含如下实现:</w:t>
      </w:r>
    </w:p>
    <w:p>
      <w:pPr>
        <w:numPr>
          <w:ilvl w:val="0"/>
          <w:numId w:val="3"/>
        </w:numPr>
        <w:ind w:left="420" w:leftChars="0" w:firstLine="420" w:firstLineChars="0"/>
        <w:rPr>
          <w:rFonts w:hint="eastAsia"/>
          <w:lang w:val="en-US" w:eastAsia="zh-CN"/>
        </w:rPr>
      </w:pPr>
      <w:r>
        <w:rPr>
          <w:rFonts w:hint="eastAsia"/>
          <w:lang w:val="en-US" w:eastAsia="zh-CN"/>
        </w:rPr>
        <w:t>私有化的构造函数</w:t>
      </w:r>
    </w:p>
    <w:p>
      <w:pPr>
        <w:numPr>
          <w:ilvl w:val="0"/>
          <w:numId w:val="3"/>
        </w:numPr>
        <w:ind w:left="420" w:leftChars="0" w:firstLine="420" w:firstLineChars="0"/>
        <w:rPr>
          <w:rFonts w:hint="default"/>
          <w:lang w:val="en-US" w:eastAsia="zh-CN"/>
        </w:rPr>
      </w:pPr>
      <w:r>
        <w:rPr>
          <w:rFonts w:hint="eastAsia"/>
          <w:lang w:val="en-US" w:eastAsia="zh-CN"/>
        </w:rPr>
        <w:t>私有化的类成员变量</w:t>
      </w:r>
    </w:p>
    <w:p>
      <w:pPr>
        <w:numPr>
          <w:ilvl w:val="0"/>
          <w:numId w:val="3"/>
        </w:numPr>
        <w:ind w:left="420" w:leftChars="0" w:firstLine="420" w:firstLineChars="0"/>
        <w:rPr>
          <w:rFonts w:hint="default"/>
          <w:lang w:val="en-US" w:eastAsia="zh-CN"/>
        </w:rPr>
      </w:pPr>
      <w:r>
        <w:rPr>
          <w:rFonts w:hint="eastAsia"/>
          <w:lang w:val="en-US" w:eastAsia="zh-CN"/>
        </w:rPr>
        <w:t>公共的类实例的访问方法</w:t>
      </w:r>
    </w:p>
    <w:p>
      <w:pPr>
        <w:numPr>
          <w:numId w:val="0"/>
        </w:numPr>
        <w:rPr>
          <w:rFonts w:hint="default"/>
          <w:lang w:val="en-US" w:eastAsia="zh-CN"/>
        </w:rPr>
      </w:pPr>
    </w:p>
    <w:p>
      <w:pPr>
        <w:ind w:firstLine="420" w:firstLineChars="0"/>
        <w:rPr>
          <w:rFonts w:ascii="&amp;quot" w:hAnsi="&amp;quot" w:eastAsia="&amp;quot" w:cs="&amp;quot"/>
          <w:i w:val="0"/>
          <w:caps w:val="0"/>
          <w:color w:val="000000"/>
          <w:spacing w:val="0"/>
          <w:sz w:val="19"/>
          <w:szCs w:val="19"/>
          <w:u w:val="none"/>
        </w:rPr>
        <w:sectPr>
          <w:pgSz w:w="11906" w:h="16838"/>
          <w:pgMar w:top="1440" w:right="1800" w:bottom="1440" w:left="1800" w:header="851" w:footer="992" w:gutter="0"/>
          <w:cols w:space="425" w:num="1"/>
          <w:docGrid w:type="lines" w:linePitch="312" w:charSpace="0"/>
        </w:sectPr>
      </w:pPr>
      <w:r>
        <w:rPr>
          <w:rFonts w:ascii="&amp;quot" w:hAnsi="&amp;quot" w:eastAsia="&amp;quot" w:cs="&amp;quot"/>
          <w:i w:val="0"/>
          <w:caps w:val="0"/>
          <w:color w:val="000000"/>
          <w:spacing w:val="0"/>
          <w:sz w:val="19"/>
          <w:szCs w:val="19"/>
          <w:u w:val="none"/>
        </w:rPr>
        <w:drawing>
          <wp:inline distT="0" distB="0" distL="114300" distR="114300">
            <wp:extent cx="3961765" cy="3493135"/>
            <wp:effectExtent l="0" t="0" r="63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61765" cy="3493135"/>
                    </a:xfrm>
                    <a:prstGeom prst="rect">
                      <a:avLst/>
                    </a:prstGeom>
                    <a:noFill/>
                    <a:ln w="9525">
                      <a:noFill/>
                    </a:ln>
                  </pic:spPr>
                </pic:pic>
              </a:graphicData>
            </a:graphic>
          </wp:inline>
        </w:drawing>
      </w:r>
    </w:p>
    <w:p>
      <w:pPr>
        <w:ind w:firstLine="420" w:firstLineChars="0"/>
        <w:rPr>
          <w:rFonts w:hint="eastAsia" w:ascii="&amp;quot" w:hAnsi="&amp;quot" w:eastAsia="&amp;quot" w:cs="&amp;quot"/>
          <w:i w:val="0"/>
          <w:caps w:val="0"/>
          <w:color w:val="000000"/>
          <w:spacing w:val="0"/>
          <w:sz w:val="19"/>
          <w:szCs w:val="19"/>
          <w:u w:val="none"/>
          <w:lang w:val="en-US" w:eastAsia="zh-CN"/>
        </w:rPr>
      </w:pPr>
      <w:r>
        <w:rPr>
          <w:rFonts w:hint="eastAsia" w:ascii="&amp;quot" w:hAnsi="&amp;quot" w:eastAsia="&amp;quot" w:cs="&amp;quot"/>
          <w:i w:val="0"/>
          <w:caps w:val="0"/>
          <w:color w:val="000000"/>
          <w:spacing w:val="0"/>
          <w:sz w:val="19"/>
          <w:szCs w:val="19"/>
          <w:u w:val="none"/>
          <w:lang w:val="en-US" w:eastAsia="zh-CN"/>
        </w:rPr>
        <w:t>懒汉式: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13760" cy="3070225"/>
            <wp:effectExtent l="0" t="0" r="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13760" cy="30702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99435" cy="1984375"/>
            <wp:effectExtent l="0" t="0" r="9525"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99435" cy="19843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93975" cy="404495"/>
            <wp:effectExtent l="0" t="0" r="12065"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593975" cy="40449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懒汉式特点:</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类加载时没有创建实例，而是在调用getInstance方法时才去创建单例，所以就会存在线程安全性问题。但是每次访问都有同步问题、消耗资源、影响性能，所以建议使用饿汉式</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饿汉式：</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rPr>
          <w:rFonts w:hint="eastAsia" w:ascii="&amp;quot" w:hAnsi="&amp;quot" w:eastAsia="&amp;quot" w:cs="&amp;quot"/>
          <w:i w:val="0"/>
          <w:caps w:val="0"/>
          <w:color w:val="000000"/>
          <w:spacing w:val="0"/>
          <w:sz w:val="19"/>
          <w:szCs w:val="19"/>
          <w:u w:val="none"/>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72155" cy="1786255"/>
            <wp:effectExtent l="0" t="0" r="4445" b="1206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272155" cy="1786255"/>
                    </a:xfrm>
                    <a:prstGeom prst="rect">
                      <a:avLst/>
                    </a:prstGeom>
                    <a:noFill/>
                    <a:ln w="9525">
                      <a:noFill/>
                    </a:ln>
                  </pic:spPr>
                </pic:pic>
              </a:graphicData>
            </a:graphic>
          </wp:inline>
        </w:drawing>
      </w:r>
    </w:p>
    <w:p>
      <w:pPr>
        <w:ind w:left="420" w:leftChars="0" w:firstLine="420" w:firstLineChars="0"/>
        <w:rPr>
          <w:rFonts w:hint="default" w:ascii="&amp;quot" w:hAnsi="&amp;quot" w:eastAsia="&amp;quot" w:cs="&amp;quot"/>
          <w:i w:val="0"/>
          <w:caps w:val="0"/>
          <w:color w:val="000000"/>
          <w:spacing w:val="0"/>
          <w:sz w:val="19"/>
          <w:szCs w:val="19"/>
          <w:u w:val="none"/>
          <w:lang w:val="en-US" w:eastAsia="zh-CN"/>
        </w:rPr>
      </w:pPr>
      <w:r>
        <w:rPr>
          <w:rFonts w:hint="eastAsia" w:ascii="&amp;quot" w:hAnsi="&amp;quot" w:eastAsia="&amp;quot" w:cs="&amp;quot"/>
          <w:i w:val="0"/>
          <w:caps w:val="0"/>
          <w:color w:val="000000"/>
          <w:spacing w:val="0"/>
          <w:sz w:val="19"/>
          <w:szCs w:val="19"/>
          <w:u w:val="none"/>
          <w:lang w:val="en-US" w:eastAsia="zh-CN"/>
        </w:rPr>
        <w:t>饿汉式直接在创建的同时就生成静态成员变量供外部使用，即预先加载，所以不存在线程安全问题。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EB572"/>
    <w:multiLevelType w:val="multilevel"/>
    <w:tmpl w:val="923EB5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5ED448E"/>
    <w:multiLevelType w:val="singleLevel"/>
    <w:tmpl w:val="35ED448E"/>
    <w:lvl w:ilvl="0" w:tentative="0">
      <w:start w:val="1"/>
      <w:numFmt w:val="decimal"/>
      <w:lvlText w:val="(%1)"/>
      <w:lvlJc w:val="left"/>
      <w:pPr>
        <w:tabs>
          <w:tab w:val="left" w:pos="312"/>
        </w:tabs>
      </w:pPr>
    </w:lvl>
  </w:abstractNum>
  <w:abstractNum w:abstractNumId="2">
    <w:nsid w:val="78F77244"/>
    <w:multiLevelType w:val="singleLevel"/>
    <w:tmpl w:val="78F77244"/>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17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2019-11-25T01:45:08Z</dcterms:created>
  <dc:creator>席世龙</dc:creator>
  <cp:lastModifiedBy>席世龙</cp:lastModifiedBy>
  <dcterms:modified xsi:type="dcterms:W3CDTF">2019-11-25T03:35:31Z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