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7B9B1">
      <w:pPr>
        <w:numPr>
          <w:ilvl w:val="0"/>
          <w:numId w:val="1"/>
        </w:numPr>
        <w:spacing w:line="360" w:lineRule="auto"/>
        <w:rPr>
          <w:b/>
          <w:bCs/>
          <w:sz w:val="24"/>
          <w:szCs w:val="24"/>
        </w:rPr>
      </w:pPr>
      <w:r>
        <w:rPr>
          <w:rFonts w:hint="default"/>
          <w:b/>
          <w:bCs/>
          <w:sz w:val="24"/>
          <w:szCs w:val="24"/>
        </w:rPr>
        <w:t>FDA Expedited Programs Framework</w:t>
      </w:r>
    </w:p>
    <w:p w14:paraId="501F4F19">
      <w:pPr>
        <w:numPr>
          <w:ilvl w:val="1"/>
          <w:numId w:val="1"/>
        </w:numPr>
        <w:spacing w:line="360" w:lineRule="auto"/>
        <w:rPr>
          <w:rFonts w:hint="default"/>
          <w:b/>
          <w:bCs/>
          <w:sz w:val="24"/>
          <w:szCs w:val="24"/>
        </w:rPr>
      </w:pPr>
      <w:r>
        <w:rPr>
          <w:rFonts w:hint="default"/>
          <w:b/>
          <w:bCs/>
          <w:sz w:val="24"/>
          <w:szCs w:val="24"/>
        </w:rPr>
        <w:t>Definitions</w:t>
      </w:r>
    </w:p>
    <w:p w14:paraId="18269FA5">
      <w:pPr>
        <w:numPr>
          <w:ilvl w:val="2"/>
          <w:numId w:val="1"/>
        </w:numPr>
        <w:spacing w:line="360" w:lineRule="auto"/>
        <w:ind w:left="0" w:leftChars="0" w:firstLine="0" w:firstLineChars="0"/>
        <w:rPr>
          <w:rFonts w:hint="default"/>
          <w:b/>
          <w:bCs/>
          <w:sz w:val="24"/>
          <w:szCs w:val="24"/>
        </w:rPr>
      </w:pPr>
      <w:r>
        <w:rPr>
          <w:rFonts w:hint="default"/>
          <w:b/>
          <w:bCs/>
          <w:sz w:val="24"/>
          <w:szCs w:val="24"/>
        </w:rPr>
        <w:t>Fast Track</w:t>
      </w:r>
      <w:r>
        <w:rPr>
          <w:rFonts w:hint="eastAsia"/>
          <w:b/>
          <w:bCs/>
          <w:sz w:val="24"/>
          <w:szCs w:val="24"/>
          <w:lang w:val="en-US" w:eastAsia="zh-CN"/>
        </w:rPr>
        <w:t xml:space="preserve"> (FT)</w:t>
      </w:r>
    </w:p>
    <w:p w14:paraId="671C0A11">
      <w:pPr>
        <w:spacing w:line="360" w:lineRule="auto"/>
        <w:rPr>
          <w:rFonts w:hint="default"/>
          <w:sz w:val="24"/>
          <w:szCs w:val="24"/>
        </w:rPr>
      </w:pPr>
      <w:r>
        <w:rPr>
          <w:b/>
          <w:bCs/>
          <w:sz w:val="24"/>
          <w:szCs w:val="24"/>
        </w:rPr>
        <w:t>Definition:</w:t>
      </w:r>
      <w:r>
        <w:rPr>
          <w:rFonts w:hint="default"/>
          <w:sz w:val="24"/>
          <w:szCs w:val="24"/>
        </w:rPr>
        <w:br w:type="textWrapping"/>
      </w:r>
      <w:r>
        <w:rPr>
          <w:rFonts w:hint="default"/>
          <w:sz w:val="24"/>
          <w:szCs w:val="24"/>
        </w:rPr>
        <w:t>FT is an FDA designation designed to accelerate the development and review of drugs intended to treat serious conditions and address unmet medical needs.</w:t>
      </w:r>
    </w:p>
    <w:p w14:paraId="2F9A1B1A">
      <w:pPr>
        <w:spacing w:line="360" w:lineRule="auto"/>
        <w:rPr>
          <w:rFonts w:hint="eastAsia"/>
          <w:sz w:val="24"/>
          <w:szCs w:val="24"/>
          <w:lang w:val="en-US" w:eastAsia="zh-CN"/>
        </w:rPr>
      </w:pPr>
    </w:p>
    <w:p w14:paraId="04F093BB">
      <w:pPr>
        <w:spacing w:line="360" w:lineRule="auto"/>
        <w:rPr>
          <w:rFonts w:hint="default"/>
          <w:sz w:val="24"/>
          <w:szCs w:val="24"/>
        </w:rPr>
      </w:pPr>
      <w:r>
        <w:rPr>
          <w:rFonts w:hint="default"/>
          <w:b/>
          <w:bCs/>
          <w:sz w:val="24"/>
          <w:szCs w:val="24"/>
        </w:rPr>
        <w:t>Eligibility Criteria:</w:t>
      </w:r>
      <w:r>
        <w:rPr>
          <w:rFonts w:hint="default"/>
          <w:sz w:val="24"/>
          <w:szCs w:val="24"/>
        </w:rPr>
        <w:br w:type="textWrapping"/>
      </w:r>
      <w:r>
        <w:rPr>
          <w:rFonts w:hint="default"/>
          <w:sz w:val="24"/>
          <w:szCs w:val="24"/>
        </w:rPr>
        <w:t>The drug must meet two key requirements: it must target a serious condition and there must be an unmet medical need.</w:t>
      </w:r>
    </w:p>
    <w:p w14:paraId="44AA4FCE">
      <w:pPr>
        <w:spacing w:line="360" w:lineRule="auto"/>
        <w:rPr>
          <w:rFonts w:hint="default"/>
          <w:sz w:val="24"/>
          <w:szCs w:val="24"/>
        </w:rPr>
      </w:pPr>
    </w:p>
    <w:p w14:paraId="60031BDD">
      <w:pPr>
        <w:spacing w:line="360" w:lineRule="auto"/>
        <w:rPr>
          <w:rFonts w:hint="default"/>
          <w:sz w:val="24"/>
          <w:szCs w:val="24"/>
        </w:rPr>
      </w:pPr>
      <w:r>
        <w:rPr>
          <w:rFonts w:hint="default"/>
          <w:sz w:val="24"/>
          <w:szCs w:val="24"/>
        </w:rPr>
        <w:t>A serious condition refers to a disease or condition that causes functional impairment and has a substantial impact on day-to-day functioning – generally, these are serious or life-threatening illnesses.</w:t>
      </w:r>
    </w:p>
    <w:p w14:paraId="3067F829">
      <w:pPr>
        <w:spacing w:line="360" w:lineRule="auto"/>
        <w:rPr>
          <w:rFonts w:hint="default"/>
          <w:sz w:val="24"/>
          <w:szCs w:val="24"/>
        </w:rPr>
      </w:pPr>
    </w:p>
    <w:p w14:paraId="0F098DC0">
      <w:pPr>
        <w:spacing w:line="360" w:lineRule="auto"/>
        <w:rPr>
          <w:rFonts w:hint="default"/>
          <w:sz w:val="24"/>
          <w:szCs w:val="24"/>
        </w:rPr>
      </w:pPr>
      <w:r>
        <w:rPr>
          <w:rFonts w:hint="default"/>
          <w:sz w:val="24"/>
          <w:szCs w:val="24"/>
        </w:rPr>
        <w:t>An unmet medical need exists when the disease or condition is not adequately addressed by available therapy. This includes situations where existing treatments cannot address a serious outcome of the condition, or where a drug could address an emerging or anticipated public health need. In addition, if the only available therapy was approved under accelerated approval based on a surrogate or intermediate clinical endpoint, and its clinical benefit has not yet been verified, that situation also qualifies as an unmet medical need.</w:t>
      </w:r>
    </w:p>
    <w:p w14:paraId="34DB77D9">
      <w:pPr>
        <w:spacing w:line="360" w:lineRule="auto"/>
        <w:rPr>
          <w:rFonts w:hint="default"/>
          <w:sz w:val="24"/>
          <w:szCs w:val="24"/>
        </w:rPr>
      </w:pPr>
    </w:p>
    <w:p w14:paraId="0E16EEF3">
      <w:pPr>
        <w:spacing w:line="360" w:lineRule="auto"/>
        <w:rPr>
          <w:rFonts w:hint="default"/>
          <w:sz w:val="24"/>
          <w:szCs w:val="24"/>
        </w:rPr>
      </w:pPr>
      <w:r>
        <w:rPr>
          <w:rFonts w:hint="default"/>
          <w:b/>
          <w:bCs/>
          <w:sz w:val="24"/>
          <w:szCs w:val="24"/>
        </w:rPr>
        <w:t>Regulatory Advantages:</w:t>
      </w:r>
      <w:r>
        <w:rPr>
          <w:rFonts w:hint="default"/>
          <w:sz w:val="24"/>
          <w:szCs w:val="24"/>
        </w:rPr>
        <w:br w:type="textWrapping"/>
      </w:r>
      <w:r>
        <w:rPr>
          <w:rFonts w:hint="default"/>
          <w:sz w:val="24"/>
          <w:szCs w:val="24"/>
        </w:rPr>
        <w:t>First, sponsors can have frequent meetings and communications with the FDA, obtaining early regulatory feedback, speeding up information exchange, and facilitating problem</w:t>
      </w:r>
      <w:r>
        <w:rPr>
          <w:rFonts w:hint="default"/>
          <w:sz w:val="24"/>
          <w:szCs w:val="24"/>
        </w:rPr>
        <w:noBreakHyphen/>
      </w:r>
      <w:r>
        <w:rPr>
          <w:rFonts w:hint="default"/>
          <w:sz w:val="24"/>
          <w:szCs w:val="24"/>
        </w:rPr>
        <w:t xml:space="preserve">solving. </w:t>
      </w:r>
    </w:p>
    <w:p w14:paraId="6D2C3C5B">
      <w:pPr>
        <w:spacing w:line="360" w:lineRule="auto"/>
        <w:rPr>
          <w:rFonts w:hint="default"/>
          <w:sz w:val="24"/>
          <w:szCs w:val="24"/>
        </w:rPr>
      </w:pPr>
    </w:p>
    <w:p w14:paraId="70CBF377">
      <w:pPr>
        <w:spacing w:line="360" w:lineRule="auto"/>
        <w:rPr>
          <w:rFonts w:hint="default"/>
          <w:sz w:val="24"/>
          <w:szCs w:val="24"/>
        </w:rPr>
      </w:pPr>
      <w:r>
        <w:rPr>
          <w:rFonts w:hint="default"/>
          <w:sz w:val="24"/>
          <w:szCs w:val="24"/>
        </w:rPr>
        <w:t>Second, Rolling Review</w:t>
      </w:r>
      <w:r>
        <w:rPr>
          <w:rFonts w:hint="eastAsia"/>
          <w:sz w:val="24"/>
          <w:szCs w:val="24"/>
          <w:lang w:val="en-US" w:eastAsia="zh-CN"/>
        </w:rPr>
        <w:t>.</w:t>
      </w:r>
      <w:r>
        <w:rPr>
          <w:rFonts w:hint="default"/>
          <w:sz w:val="24"/>
          <w:szCs w:val="24"/>
        </w:rPr>
        <w:t xml:space="preserve"> </w:t>
      </w:r>
      <w:r>
        <w:rPr>
          <w:rFonts w:hint="eastAsia"/>
          <w:sz w:val="24"/>
          <w:szCs w:val="24"/>
          <w:lang w:val="en-US" w:eastAsia="zh-CN"/>
        </w:rPr>
        <w:t>S</w:t>
      </w:r>
      <w:r>
        <w:rPr>
          <w:rFonts w:hint="default"/>
          <w:sz w:val="24"/>
          <w:szCs w:val="24"/>
        </w:rPr>
        <w:t>ponsors can</w:t>
      </w:r>
      <w:r>
        <w:rPr>
          <w:rFonts w:hint="eastAsia"/>
          <w:sz w:val="24"/>
          <w:szCs w:val="24"/>
          <w:lang w:val="en-US" w:eastAsia="zh-CN"/>
        </w:rPr>
        <w:t xml:space="preserve"> </w:t>
      </w:r>
      <w:r>
        <w:rPr>
          <w:rFonts w:hint="default"/>
          <w:sz w:val="24"/>
          <w:szCs w:val="24"/>
        </w:rPr>
        <w:t>submit NDA/BLA sections piecemeal,</w:t>
      </w:r>
      <w:r>
        <w:rPr>
          <w:rFonts w:hint="eastAsia"/>
          <w:sz w:val="24"/>
          <w:szCs w:val="24"/>
          <w:lang w:val="en-US" w:eastAsia="zh-CN"/>
        </w:rPr>
        <w:t xml:space="preserve"> </w:t>
      </w:r>
      <w:r>
        <w:rPr>
          <w:rFonts w:hint="default"/>
          <w:sz w:val="24"/>
          <w:szCs w:val="24"/>
        </w:rPr>
        <w:t>FDA reviews as it receives, thereby shortening the overall review timeline. Moreover, products that receive Fast Track designation often have an easier path to qualifying for even more expedited pathways.</w:t>
      </w:r>
    </w:p>
    <w:p w14:paraId="5B5CC3F0">
      <w:pPr>
        <w:spacing w:line="360" w:lineRule="auto"/>
        <w:rPr>
          <w:rFonts w:hint="default"/>
          <w:b/>
          <w:bCs/>
          <w:sz w:val="24"/>
          <w:szCs w:val="24"/>
        </w:rPr>
      </w:pPr>
    </w:p>
    <w:p w14:paraId="298A22C5">
      <w:pPr>
        <w:spacing w:line="360" w:lineRule="auto"/>
        <w:rPr>
          <w:rFonts w:hint="default"/>
          <w:sz w:val="24"/>
          <w:szCs w:val="24"/>
        </w:rPr>
      </w:pPr>
      <w:r>
        <w:rPr>
          <w:rFonts w:hint="default" w:eastAsia="宋体" w:asciiTheme="minorAscii" w:hAnsiTheme="minorAscii"/>
          <w:b/>
          <w:bCs/>
          <w:sz w:val="24"/>
          <w:szCs w:val="24"/>
          <w:lang w:val="en-US" w:eastAsia="zh-CN"/>
        </w:rPr>
        <w:t>Typical</w:t>
      </w:r>
      <w:r>
        <w:rPr>
          <w:rFonts w:hint="default"/>
          <w:b/>
          <w:bCs/>
          <w:sz w:val="24"/>
          <w:szCs w:val="24"/>
        </w:rPr>
        <w:t xml:space="preserve"> Endpoints:</w:t>
      </w:r>
      <w:r>
        <w:rPr>
          <w:rFonts w:hint="default"/>
          <w:sz w:val="24"/>
          <w:szCs w:val="24"/>
        </w:rPr>
        <w:br w:type="textWrapping"/>
      </w:r>
      <w:r>
        <w:rPr>
          <w:rFonts w:hint="default"/>
          <w:sz w:val="24"/>
          <w:szCs w:val="24"/>
        </w:rPr>
        <w:t>Depending on the disease and stage of development, Fast Track allows the use of surrogate endpoints (e.g., objective response rate, ORR), intermediate clinical endpoints (e.g., duration of response, DoR), and ultimate clinical endpoints (e.g., overall survival, OS). The key principle is that the chosen endpoint must be reasonably likely to predict clinical benefit.</w:t>
      </w:r>
    </w:p>
    <w:p w14:paraId="0553A859">
      <w:pPr>
        <w:spacing w:line="360" w:lineRule="auto"/>
        <w:rPr>
          <w:rFonts w:hint="default"/>
          <w:sz w:val="24"/>
          <w:szCs w:val="24"/>
        </w:rPr>
      </w:pPr>
    </w:p>
    <w:p w14:paraId="688BC102">
      <w:pPr>
        <w:numPr>
          <w:ilvl w:val="2"/>
          <w:numId w:val="1"/>
        </w:numPr>
        <w:spacing w:line="360" w:lineRule="auto"/>
        <w:ind w:left="0" w:leftChars="0" w:firstLine="0" w:firstLineChars="0"/>
        <w:rPr>
          <w:rFonts w:hint="default"/>
          <w:b/>
          <w:bCs/>
          <w:sz w:val="24"/>
          <w:szCs w:val="24"/>
        </w:rPr>
      </w:pPr>
      <w:r>
        <w:rPr>
          <w:rFonts w:hint="default"/>
          <w:b/>
          <w:bCs/>
          <w:sz w:val="24"/>
          <w:szCs w:val="24"/>
        </w:rPr>
        <w:t>Breakthrough Therapy Designation</w:t>
      </w:r>
      <w:r>
        <w:rPr>
          <w:rFonts w:hint="eastAsia"/>
          <w:b/>
          <w:bCs/>
          <w:sz w:val="24"/>
          <w:szCs w:val="24"/>
          <w:lang w:val="en-US" w:eastAsia="zh-CN"/>
        </w:rPr>
        <w:t xml:space="preserve"> </w:t>
      </w:r>
      <w:r>
        <w:rPr>
          <w:rFonts w:hint="default"/>
          <w:b/>
          <w:bCs/>
          <w:sz w:val="24"/>
          <w:szCs w:val="24"/>
        </w:rPr>
        <w:t>(BT</w:t>
      </w:r>
      <w:r>
        <w:rPr>
          <w:rFonts w:hint="eastAsia"/>
          <w:b/>
          <w:bCs/>
          <w:sz w:val="24"/>
          <w:szCs w:val="24"/>
          <w:lang w:val="en-US" w:eastAsia="zh-CN"/>
        </w:rPr>
        <w:t>D</w:t>
      </w:r>
      <w:r>
        <w:rPr>
          <w:rFonts w:hint="default"/>
          <w:b/>
          <w:bCs/>
          <w:sz w:val="24"/>
          <w:szCs w:val="24"/>
        </w:rPr>
        <w:t>)</w:t>
      </w:r>
    </w:p>
    <w:p w14:paraId="20F0C9A4">
      <w:pPr>
        <w:spacing w:line="360" w:lineRule="auto"/>
        <w:rPr>
          <w:rFonts w:hint="default"/>
          <w:sz w:val="24"/>
          <w:szCs w:val="24"/>
        </w:rPr>
      </w:pPr>
      <w:r>
        <w:rPr>
          <w:rFonts w:hint="default"/>
          <w:b/>
          <w:bCs/>
          <w:sz w:val="24"/>
          <w:szCs w:val="24"/>
        </w:rPr>
        <w:t>Definition:</w:t>
      </w:r>
      <w:r>
        <w:rPr>
          <w:rFonts w:hint="default"/>
          <w:b/>
          <w:bCs/>
          <w:sz w:val="24"/>
          <w:szCs w:val="24"/>
        </w:rPr>
        <w:br w:type="textWrapping"/>
      </w:r>
      <w:r>
        <w:rPr>
          <w:rFonts w:hint="default"/>
          <w:sz w:val="24"/>
          <w:szCs w:val="24"/>
        </w:rPr>
        <w:t>BTD is an FDA designation intended to expedite the development and review of a drug for treating a serious or life</w:t>
      </w:r>
      <w:r>
        <w:rPr>
          <w:rFonts w:hint="default"/>
          <w:sz w:val="24"/>
          <w:szCs w:val="24"/>
        </w:rPr>
        <w:noBreakHyphen/>
      </w:r>
      <w:r>
        <w:rPr>
          <w:rFonts w:hint="default"/>
          <w:sz w:val="24"/>
          <w:szCs w:val="24"/>
        </w:rPr>
        <w:t>threatening condition where there is an unmet medical need.</w:t>
      </w:r>
    </w:p>
    <w:p w14:paraId="3971EC63">
      <w:pPr>
        <w:spacing w:line="360" w:lineRule="auto"/>
        <w:rPr>
          <w:rFonts w:hint="default"/>
          <w:sz w:val="24"/>
          <w:szCs w:val="24"/>
        </w:rPr>
      </w:pPr>
    </w:p>
    <w:p w14:paraId="4E951306">
      <w:pPr>
        <w:spacing w:line="360" w:lineRule="auto"/>
        <w:rPr>
          <w:rFonts w:hint="default"/>
          <w:sz w:val="24"/>
          <w:szCs w:val="24"/>
        </w:rPr>
      </w:pPr>
      <w:r>
        <w:rPr>
          <w:rFonts w:hint="default"/>
          <w:b/>
          <w:bCs/>
          <w:sz w:val="24"/>
          <w:szCs w:val="24"/>
        </w:rPr>
        <w:t>Eligibility Criteria:</w:t>
      </w:r>
      <w:r>
        <w:rPr>
          <w:rFonts w:hint="default"/>
          <w:sz w:val="24"/>
          <w:szCs w:val="24"/>
        </w:rPr>
        <w:br w:type="textWrapping"/>
      </w:r>
      <w:r>
        <w:rPr>
          <w:rFonts w:hint="default"/>
          <w:sz w:val="24"/>
          <w:szCs w:val="24"/>
        </w:rPr>
        <w:t>The drug must target a serious or life</w:t>
      </w:r>
      <w:r>
        <w:rPr>
          <w:rFonts w:hint="default"/>
          <w:sz w:val="24"/>
          <w:szCs w:val="24"/>
        </w:rPr>
        <w:noBreakHyphen/>
      </w:r>
      <w:r>
        <w:rPr>
          <w:rFonts w:hint="default"/>
          <w:sz w:val="24"/>
          <w:szCs w:val="24"/>
        </w:rPr>
        <w:t>threatening condition; it must address an unmet medical need; and there must be preliminary clinical data showing that the therapy offers a substantial improvement over available treatments.</w:t>
      </w:r>
    </w:p>
    <w:p w14:paraId="6E691FE5">
      <w:pPr>
        <w:spacing w:line="360" w:lineRule="auto"/>
        <w:rPr>
          <w:rFonts w:hint="default"/>
          <w:sz w:val="24"/>
          <w:szCs w:val="24"/>
        </w:rPr>
      </w:pPr>
    </w:p>
    <w:p w14:paraId="119B4401">
      <w:pPr>
        <w:spacing w:line="360" w:lineRule="auto"/>
        <w:rPr>
          <w:rFonts w:hint="default"/>
          <w:sz w:val="24"/>
          <w:szCs w:val="24"/>
        </w:rPr>
      </w:pPr>
      <w:r>
        <w:rPr>
          <w:rFonts w:hint="default"/>
          <w:b/>
          <w:bCs/>
          <w:sz w:val="24"/>
          <w:szCs w:val="24"/>
        </w:rPr>
        <w:t>Regulatory Advantages:</w:t>
      </w:r>
      <w:r>
        <w:rPr>
          <w:rFonts w:hint="default"/>
          <w:sz w:val="24"/>
          <w:szCs w:val="24"/>
        </w:rPr>
        <w:br w:type="textWrapping"/>
      </w:r>
      <w:r>
        <w:rPr>
          <w:rFonts w:hint="default"/>
          <w:sz w:val="24"/>
          <w:szCs w:val="24"/>
        </w:rPr>
        <w:t>Products granted BT</w:t>
      </w:r>
      <w:r>
        <w:rPr>
          <w:rFonts w:hint="eastAsia"/>
          <w:sz w:val="24"/>
          <w:szCs w:val="24"/>
          <w:lang w:val="en-US" w:eastAsia="zh-CN"/>
        </w:rPr>
        <w:t>D</w:t>
      </w:r>
      <w:r>
        <w:rPr>
          <w:rFonts w:hint="default"/>
          <w:sz w:val="24"/>
          <w:szCs w:val="24"/>
        </w:rPr>
        <w:t xml:space="preserve"> benefit from deeper FDA engagement and guidance, including frequent meetings, communications, and advice throughout the development process. Rolling review is also available. In addition, the FDA will assign a project lead to coordinate the internal review team, ensuring smooth communication and efficiency during drug development.</w:t>
      </w:r>
    </w:p>
    <w:p w14:paraId="7C48131E">
      <w:pPr>
        <w:spacing w:line="360" w:lineRule="auto"/>
        <w:rPr>
          <w:rFonts w:hint="default"/>
          <w:sz w:val="24"/>
          <w:szCs w:val="24"/>
        </w:rPr>
      </w:pPr>
    </w:p>
    <w:p w14:paraId="7B274014">
      <w:pPr>
        <w:spacing w:line="360" w:lineRule="auto"/>
        <w:rPr>
          <w:rFonts w:hint="default"/>
          <w:sz w:val="24"/>
          <w:szCs w:val="24"/>
        </w:rPr>
      </w:pPr>
      <w:r>
        <w:rPr>
          <w:rFonts w:hint="default"/>
          <w:b/>
          <w:bCs/>
          <w:sz w:val="24"/>
          <w:szCs w:val="24"/>
        </w:rPr>
        <w:t>Typical Endpoints:</w:t>
      </w:r>
      <w:r>
        <w:rPr>
          <w:rFonts w:hint="default"/>
          <w:sz w:val="24"/>
          <w:szCs w:val="24"/>
        </w:rPr>
        <w:br w:type="textWrapping"/>
      </w:r>
      <w:r>
        <w:rPr>
          <w:rFonts w:hint="default"/>
          <w:sz w:val="24"/>
          <w:szCs w:val="24"/>
        </w:rPr>
        <w:t>BTD often relies on surrogate or intermediate clinical endpoints – such as ORR, DoR, or progression</w:t>
      </w:r>
      <w:r>
        <w:rPr>
          <w:rFonts w:hint="default"/>
          <w:sz w:val="24"/>
          <w:szCs w:val="24"/>
        </w:rPr>
        <w:noBreakHyphen/>
      </w:r>
      <w:r>
        <w:rPr>
          <w:rFonts w:hint="default"/>
          <w:sz w:val="24"/>
          <w:szCs w:val="24"/>
        </w:rPr>
        <w:t>free survival (PFS). Data supporting BT</w:t>
      </w:r>
      <w:r>
        <w:rPr>
          <w:rFonts w:hint="eastAsia"/>
          <w:sz w:val="24"/>
          <w:szCs w:val="24"/>
          <w:lang w:val="en-US" w:eastAsia="zh-CN"/>
        </w:rPr>
        <w:t>D</w:t>
      </w:r>
      <w:r>
        <w:rPr>
          <w:rFonts w:hint="default"/>
          <w:sz w:val="24"/>
          <w:szCs w:val="24"/>
        </w:rPr>
        <w:t xml:space="preserve"> can come from single</w:t>
      </w:r>
      <w:r>
        <w:rPr>
          <w:rFonts w:hint="default"/>
          <w:sz w:val="24"/>
          <w:szCs w:val="24"/>
        </w:rPr>
        <w:noBreakHyphen/>
      </w:r>
      <w:r>
        <w:rPr>
          <w:rFonts w:hint="default"/>
          <w:sz w:val="24"/>
          <w:szCs w:val="24"/>
        </w:rPr>
        <w:t>arm trials; a randomized controlled design isn't always necessary. The key is that the data must convincingly demonstrate a substantial improvement over existing therapies.</w:t>
      </w:r>
    </w:p>
    <w:p w14:paraId="0AD48B85">
      <w:pPr>
        <w:spacing w:line="360" w:lineRule="auto"/>
        <w:rPr>
          <w:rFonts w:hint="default"/>
          <w:sz w:val="24"/>
          <w:szCs w:val="24"/>
        </w:rPr>
      </w:pPr>
    </w:p>
    <w:p w14:paraId="602BEBDA">
      <w:pPr>
        <w:numPr>
          <w:ilvl w:val="2"/>
          <w:numId w:val="1"/>
        </w:numPr>
        <w:spacing w:line="360" w:lineRule="auto"/>
        <w:ind w:left="0" w:leftChars="0" w:firstLine="0" w:firstLineChars="0"/>
        <w:rPr>
          <w:rFonts w:hint="default" w:eastAsia="宋体" w:asciiTheme="minorAscii" w:hAnsiTheme="minorAscii"/>
          <w:b/>
          <w:bCs/>
          <w:sz w:val="24"/>
          <w:szCs w:val="24"/>
          <w:lang w:val="en-US" w:eastAsia="zh-CN"/>
        </w:rPr>
      </w:pPr>
      <w:r>
        <w:rPr>
          <w:rFonts w:hint="default" w:eastAsia="宋体" w:asciiTheme="minorAscii" w:hAnsiTheme="minorAscii"/>
          <w:b/>
          <w:bCs/>
          <w:sz w:val="24"/>
          <w:szCs w:val="24"/>
          <w:lang w:val="en-US" w:eastAsia="zh-CN"/>
        </w:rPr>
        <w:t>Accelerated Approval (AA)</w:t>
      </w:r>
    </w:p>
    <w:p w14:paraId="744CA308">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Definition:</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 xml:space="preserve">Accelerated Approval is an FDA pathway designed for drugs that treat serious conditions and address unmet medical needs. </w:t>
      </w:r>
    </w:p>
    <w:p w14:paraId="26D4F7F6">
      <w:pPr>
        <w:numPr>
          <w:ilvl w:val="0"/>
          <w:numId w:val="0"/>
        </w:numPr>
        <w:spacing w:line="360" w:lineRule="auto"/>
        <w:ind w:leftChars="0"/>
        <w:rPr>
          <w:rFonts w:hint="default" w:eastAsia="宋体" w:asciiTheme="minorAscii" w:hAnsiTheme="minorAscii"/>
          <w:sz w:val="24"/>
          <w:szCs w:val="24"/>
          <w:lang w:val="en-US" w:eastAsia="zh-CN"/>
        </w:rPr>
      </w:pPr>
    </w:p>
    <w:p w14:paraId="71144112">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Eligibility Criteria:</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The drug must be intended for a serious disease, and its effectiveness must be reasonably assessed through a surrogate or intermediate endpoint. That prediction needs to have solid scientific backing.</w:t>
      </w:r>
    </w:p>
    <w:p w14:paraId="6EC0CF3A">
      <w:pPr>
        <w:numPr>
          <w:ilvl w:val="0"/>
          <w:numId w:val="0"/>
        </w:numPr>
        <w:spacing w:line="360" w:lineRule="auto"/>
        <w:ind w:leftChars="0"/>
        <w:rPr>
          <w:rFonts w:hint="default" w:eastAsia="宋体" w:asciiTheme="minorAscii" w:hAnsiTheme="minorAscii"/>
          <w:sz w:val="24"/>
          <w:szCs w:val="24"/>
          <w:lang w:val="en-US" w:eastAsia="zh-CN"/>
        </w:rPr>
      </w:pPr>
    </w:p>
    <w:p w14:paraId="27D905D1">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Regulatory Advantages:</w:t>
      </w:r>
      <w:r>
        <w:rPr>
          <w:rFonts w:hint="default" w:eastAsia="宋体" w:asciiTheme="minorAscii" w:hAnsiTheme="minorAscii"/>
          <w:b/>
          <w:bCs/>
          <w:sz w:val="24"/>
          <w:szCs w:val="24"/>
          <w:lang w:val="en-US" w:eastAsia="zh-CN"/>
        </w:rPr>
        <w:br w:type="textWrapping"/>
      </w:r>
      <w:r>
        <w:rPr>
          <w:rFonts w:hint="default" w:eastAsia="宋体" w:asciiTheme="minorAscii" w:hAnsiTheme="minorAscii"/>
          <w:sz w:val="24"/>
          <w:szCs w:val="24"/>
          <w:lang w:val="en-US" w:eastAsia="zh-CN"/>
        </w:rPr>
        <w:t>AA helps get the drug to patients faster, cutting down wait times. At the same time, the FDA continues oversight after approval. Post</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marketing confirmatory trials are required to verify the drug's actual clinical benefit</w:t>
      </w:r>
      <w:r>
        <w:rPr>
          <w:rFonts w:hint="eastAsia" w:asciiTheme="minorAscii" w:hAnsiTheme="minorAscii"/>
          <w:sz w:val="24"/>
          <w:szCs w:val="24"/>
          <w:lang w:val="en-US" w:eastAsia="zh-CN"/>
        </w:rPr>
        <w:t>,</w:t>
      </w:r>
      <w:r>
        <w:rPr>
          <w:rFonts w:hint="default" w:eastAsia="宋体" w:asciiTheme="minorAscii" w:hAnsiTheme="minorAscii"/>
          <w:sz w:val="24"/>
          <w:szCs w:val="24"/>
          <w:lang w:val="en-US" w:eastAsia="zh-CN"/>
        </w:rPr>
        <w:t xml:space="preserve"> and if that benefit isn't confirmed, the approval can be withdrawn.</w:t>
      </w:r>
    </w:p>
    <w:p w14:paraId="05D163EC">
      <w:pPr>
        <w:numPr>
          <w:ilvl w:val="0"/>
          <w:numId w:val="0"/>
        </w:numPr>
        <w:spacing w:line="360" w:lineRule="auto"/>
        <w:ind w:leftChars="0"/>
        <w:rPr>
          <w:rFonts w:hint="default" w:eastAsia="宋体" w:asciiTheme="minorAscii" w:hAnsiTheme="minorAscii"/>
          <w:sz w:val="24"/>
          <w:szCs w:val="24"/>
          <w:lang w:val="en-US" w:eastAsia="zh-CN"/>
        </w:rPr>
      </w:pPr>
    </w:p>
    <w:p w14:paraId="33943C9F">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sz w:val="24"/>
          <w:szCs w:val="24"/>
          <w:lang w:val="en-US" w:eastAsia="zh-CN"/>
        </w:rPr>
        <w:t>Typical Endpoints:</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Commonly used endpoints include tumor response rate (ORR), biomarkers, enzyme activity, and other surrogate measures that can reasonably predict efficacy. These endpoints allow a drug's potential clinical value to be assessed in a shorter timeframe.</w:t>
      </w:r>
    </w:p>
    <w:p w14:paraId="7AA60FD9">
      <w:pPr>
        <w:numPr>
          <w:ilvl w:val="0"/>
          <w:numId w:val="0"/>
        </w:numPr>
        <w:spacing w:line="360" w:lineRule="auto"/>
        <w:ind w:leftChars="0"/>
        <w:rPr>
          <w:rFonts w:hint="default" w:eastAsia="宋体" w:asciiTheme="minorAscii" w:hAnsiTheme="minorAscii"/>
          <w:sz w:val="24"/>
          <w:szCs w:val="24"/>
          <w:lang w:val="en-US" w:eastAsia="zh-CN"/>
        </w:rPr>
      </w:pPr>
    </w:p>
    <w:p w14:paraId="08992EFF">
      <w:pPr>
        <w:numPr>
          <w:ilvl w:val="2"/>
          <w:numId w:val="1"/>
        </w:numPr>
        <w:spacing w:line="360" w:lineRule="auto"/>
        <w:ind w:left="0" w:leftChars="0" w:firstLine="0" w:firstLineChars="0"/>
        <w:rPr>
          <w:rFonts w:hint="default" w:eastAsia="宋体" w:asciiTheme="minorAscii" w:hAnsiTheme="minorAscii"/>
          <w:b/>
          <w:bCs/>
          <w:sz w:val="24"/>
          <w:szCs w:val="24"/>
          <w:lang w:val="en-US" w:eastAsia="zh-CN"/>
        </w:rPr>
      </w:pPr>
      <w:r>
        <w:rPr>
          <w:rFonts w:hint="default" w:eastAsia="宋体" w:asciiTheme="minorAscii" w:hAnsiTheme="minorAscii"/>
          <w:b/>
          <w:bCs/>
          <w:sz w:val="24"/>
          <w:szCs w:val="24"/>
          <w:lang w:val="en-US" w:eastAsia="zh-CN"/>
        </w:rPr>
        <w:t>Priority Review</w:t>
      </w:r>
      <w:r>
        <w:rPr>
          <w:rFonts w:hint="eastAsia" w:asciiTheme="minorAscii" w:hAnsiTheme="minorAscii"/>
          <w:b/>
          <w:bCs/>
          <w:sz w:val="24"/>
          <w:szCs w:val="24"/>
          <w:lang w:val="en-US" w:eastAsia="zh-CN"/>
        </w:rPr>
        <w:t xml:space="preserve"> (PR)</w:t>
      </w:r>
    </w:p>
    <w:p w14:paraId="60353B24">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Definition:</w:t>
      </w:r>
      <w:r>
        <w:rPr>
          <w:rFonts w:hint="default" w:eastAsia="宋体" w:asciiTheme="minorAscii" w:hAnsiTheme="minorAscii"/>
          <w:b/>
          <w:bCs/>
          <w:sz w:val="24"/>
          <w:szCs w:val="24"/>
          <w:lang w:val="en-US" w:eastAsia="zh-CN"/>
        </w:rPr>
        <w:br w:type="textWrapping"/>
      </w:r>
      <w:r>
        <w:rPr>
          <w:rFonts w:hint="default" w:eastAsia="宋体" w:asciiTheme="minorAscii" w:hAnsiTheme="minorAscii"/>
          <w:sz w:val="24"/>
          <w:szCs w:val="24"/>
          <w:lang w:val="en-US" w:eastAsia="zh-CN"/>
        </w:rPr>
        <w:t>PR is a designation established by the FDA to expedite the review of a drug application. It does not change the drug's development pathway or the evidence requirements.</w:t>
      </w:r>
    </w:p>
    <w:p w14:paraId="630A40A2">
      <w:pPr>
        <w:numPr>
          <w:ilvl w:val="0"/>
          <w:numId w:val="0"/>
        </w:numPr>
        <w:spacing w:line="360" w:lineRule="auto"/>
        <w:ind w:leftChars="0"/>
        <w:rPr>
          <w:rFonts w:hint="default" w:eastAsia="宋体" w:asciiTheme="minorAscii" w:hAnsiTheme="minorAscii"/>
          <w:sz w:val="24"/>
          <w:szCs w:val="24"/>
          <w:lang w:val="en-US" w:eastAsia="zh-CN"/>
        </w:rPr>
      </w:pPr>
    </w:p>
    <w:p w14:paraId="1BBA369F">
      <w:pPr>
        <w:numPr>
          <w:ilvl w:val="0"/>
          <w:numId w:val="0"/>
        </w:numPr>
        <w:spacing w:line="360" w:lineRule="auto"/>
        <w:ind w:leftChars="0"/>
        <w:rPr>
          <w:rFonts w:hint="eastAsia" w:asciiTheme="minorAscii" w:hAnsiTheme="minorAscii"/>
          <w:sz w:val="24"/>
          <w:szCs w:val="24"/>
          <w:lang w:val="en-US" w:eastAsia="zh-CN"/>
        </w:rPr>
      </w:pPr>
      <w:r>
        <w:rPr>
          <w:rFonts w:hint="default" w:eastAsia="宋体" w:asciiTheme="minorAscii" w:hAnsiTheme="minorAscii"/>
          <w:b/>
          <w:bCs/>
          <w:sz w:val="24"/>
          <w:szCs w:val="24"/>
          <w:lang w:val="en-US" w:eastAsia="zh-CN"/>
        </w:rPr>
        <w:t>Eligibility Criteria:</w:t>
      </w:r>
      <w:r>
        <w:rPr>
          <w:rFonts w:hint="default" w:eastAsia="宋体" w:asciiTheme="minorAscii" w:hAnsiTheme="minorAscii"/>
          <w:b/>
          <w:bCs/>
          <w:sz w:val="24"/>
          <w:szCs w:val="24"/>
          <w:lang w:val="en-US" w:eastAsia="zh-CN"/>
        </w:rPr>
        <w:br w:type="textWrapping"/>
      </w:r>
      <w:r>
        <w:rPr>
          <w:rFonts w:hint="default" w:eastAsia="宋体" w:asciiTheme="minorAscii" w:hAnsiTheme="minorAscii"/>
          <w:sz w:val="24"/>
          <w:szCs w:val="24"/>
          <w:lang w:val="en-US" w:eastAsia="zh-CN"/>
        </w:rPr>
        <w:t>The drug must be intended for a serious condition.</w:t>
      </w:r>
      <w:r>
        <w:rPr>
          <w:rFonts w:hint="eastAsia" w:asciiTheme="minorAscii" w:hAnsiTheme="minorAscii"/>
          <w:sz w:val="24"/>
          <w:szCs w:val="24"/>
          <w:lang w:val="en-US" w:eastAsia="zh-CN"/>
        </w:rPr>
        <w:t xml:space="preserve"> T</w:t>
      </w:r>
      <w:r>
        <w:rPr>
          <w:rFonts w:hint="default" w:eastAsia="宋体" w:asciiTheme="minorAscii" w:hAnsiTheme="minorAscii"/>
          <w:sz w:val="24"/>
          <w:szCs w:val="24"/>
          <w:lang w:val="en-US" w:eastAsia="zh-CN"/>
        </w:rPr>
        <w:t>he drug must demonstrate a significant improvement in safety, effectiveness, diagnosis, or prevention</w:t>
      </w:r>
      <w:r>
        <w:rPr>
          <w:rFonts w:hint="eastAsia" w:asciiTheme="minorAscii" w:hAnsiTheme="minorAscii"/>
          <w:sz w:val="24"/>
          <w:szCs w:val="24"/>
          <w:lang w:val="en-US" w:eastAsia="zh-CN"/>
        </w:rPr>
        <w:t>.</w:t>
      </w:r>
    </w:p>
    <w:p w14:paraId="28B488D4">
      <w:pPr>
        <w:numPr>
          <w:ilvl w:val="0"/>
          <w:numId w:val="0"/>
        </w:numPr>
        <w:spacing w:line="360" w:lineRule="auto"/>
        <w:ind w:leftChars="0"/>
        <w:rPr>
          <w:rFonts w:hint="default" w:asciiTheme="minorAscii" w:hAnsiTheme="minorAscii"/>
          <w:sz w:val="24"/>
          <w:szCs w:val="24"/>
          <w:lang w:val="en-US" w:eastAsia="zh-CN"/>
        </w:rPr>
      </w:pPr>
    </w:p>
    <w:p w14:paraId="68CB7D92">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Regulatory Advantages:</w:t>
      </w:r>
      <w:r>
        <w:rPr>
          <w:rFonts w:hint="default" w:eastAsia="宋体" w:asciiTheme="minorAscii" w:hAnsiTheme="minorAscii"/>
          <w:b/>
          <w:bCs/>
          <w:sz w:val="24"/>
          <w:szCs w:val="24"/>
          <w:lang w:val="en-US" w:eastAsia="zh-CN"/>
        </w:rPr>
        <w:br w:type="textWrapping"/>
      </w:r>
      <w:r>
        <w:rPr>
          <w:rFonts w:hint="default" w:eastAsia="宋体" w:asciiTheme="minorAscii" w:hAnsiTheme="minorAscii"/>
          <w:sz w:val="24"/>
          <w:szCs w:val="24"/>
          <w:lang w:val="en-US" w:eastAsia="zh-CN"/>
        </w:rPr>
        <w:t>The main advantage of PR is a significantly shortened FDA review timeline</w:t>
      </w:r>
      <w:r>
        <w:rPr>
          <w:rFonts w:hint="eastAsia" w:asciiTheme="minorAscii" w:hAnsiTheme="minorAscii"/>
          <w:sz w:val="24"/>
          <w:szCs w:val="24"/>
          <w:lang w:val="en-US" w:eastAsia="zh-CN"/>
        </w:rPr>
        <w:t xml:space="preserve">, </w:t>
      </w:r>
      <w:r>
        <w:rPr>
          <w:rFonts w:hint="default" w:eastAsia="宋体" w:asciiTheme="minorAscii" w:hAnsiTheme="minorAscii"/>
          <w:sz w:val="24"/>
          <w:szCs w:val="24"/>
          <w:lang w:val="en-US" w:eastAsia="zh-CN"/>
        </w:rPr>
        <w:t>typically 6 months. The FDA assigns a dedicated review team to the application, improving communication and review efficiency. PR is often combined with B</w:t>
      </w:r>
      <w:r>
        <w:rPr>
          <w:rFonts w:hint="eastAsia" w:asciiTheme="minorAscii" w:hAnsiTheme="minorAscii"/>
          <w:sz w:val="24"/>
          <w:szCs w:val="24"/>
          <w:lang w:val="en-US" w:eastAsia="zh-CN"/>
        </w:rPr>
        <w:t>T</w:t>
      </w:r>
      <w:r>
        <w:rPr>
          <w:rFonts w:hint="default" w:eastAsia="宋体" w:asciiTheme="minorAscii" w:hAnsiTheme="minorAscii"/>
          <w:sz w:val="24"/>
          <w:szCs w:val="24"/>
          <w:lang w:val="en-US" w:eastAsia="zh-CN"/>
        </w:rPr>
        <w:t xml:space="preserve"> or A</w:t>
      </w:r>
      <w:r>
        <w:rPr>
          <w:rFonts w:hint="eastAsia" w:asciiTheme="minorAscii" w:hAnsiTheme="minorAscii"/>
          <w:sz w:val="24"/>
          <w:szCs w:val="24"/>
          <w:lang w:val="en-US" w:eastAsia="zh-CN"/>
        </w:rPr>
        <w:t>A</w:t>
      </w:r>
      <w:r>
        <w:rPr>
          <w:rFonts w:hint="default" w:eastAsia="宋体" w:asciiTheme="minorAscii" w:hAnsiTheme="minorAscii"/>
          <w:sz w:val="24"/>
          <w:szCs w:val="24"/>
          <w:lang w:val="en-US" w:eastAsia="zh-CN"/>
        </w:rPr>
        <w:t>, giving sponsors the combined benefits of accelerated development and a faster path to market.</w:t>
      </w:r>
    </w:p>
    <w:p w14:paraId="23A6D446">
      <w:pPr>
        <w:numPr>
          <w:ilvl w:val="0"/>
          <w:numId w:val="0"/>
        </w:numPr>
        <w:spacing w:line="360" w:lineRule="auto"/>
        <w:ind w:leftChars="0"/>
        <w:rPr>
          <w:rFonts w:hint="default" w:eastAsia="宋体" w:asciiTheme="minorAscii" w:hAnsiTheme="minorAscii"/>
          <w:sz w:val="24"/>
          <w:szCs w:val="24"/>
          <w:lang w:val="en-US" w:eastAsia="zh-CN"/>
        </w:rPr>
      </w:pPr>
    </w:p>
    <w:p w14:paraId="7DAD81FF">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Typical Endpoints:</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Priority Review does not prescribe any specific endpoint type</w:t>
      </w:r>
      <w:r>
        <w:rPr>
          <w:rFonts w:hint="eastAsia" w:asciiTheme="minorAscii" w:hAnsiTheme="minorAscii"/>
          <w:sz w:val="24"/>
          <w:szCs w:val="24"/>
          <w:lang w:val="en-US" w:eastAsia="zh-CN"/>
        </w:rPr>
        <w:t xml:space="preserve">, </w:t>
      </w:r>
      <w:r>
        <w:rPr>
          <w:rFonts w:hint="default" w:eastAsia="宋体" w:asciiTheme="minorAscii" w:hAnsiTheme="minorAscii"/>
          <w:sz w:val="24"/>
          <w:szCs w:val="24"/>
          <w:lang w:val="en-US" w:eastAsia="zh-CN"/>
        </w:rPr>
        <w:t>the endpoints depend entirely on the drug itself and the specific NDA/BLA application.</w:t>
      </w:r>
    </w:p>
    <w:p w14:paraId="6A4D7C83">
      <w:pPr>
        <w:numPr>
          <w:ilvl w:val="0"/>
          <w:numId w:val="0"/>
        </w:numPr>
        <w:spacing w:line="360" w:lineRule="auto"/>
        <w:ind w:leftChars="0"/>
        <w:rPr>
          <w:rFonts w:hint="default" w:eastAsia="宋体" w:asciiTheme="minorAscii" w:hAnsiTheme="minorAscii"/>
          <w:sz w:val="24"/>
          <w:szCs w:val="24"/>
          <w:lang w:val="en-US" w:eastAsia="zh-CN"/>
        </w:rPr>
      </w:pPr>
    </w:p>
    <w:p w14:paraId="3014F45A">
      <w:pPr>
        <w:numPr>
          <w:ilvl w:val="2"/>
          <w:numId w:val="1"/>
        </w:numPr>
        <w:spacing w:line="360" w:lineRule="auto"/>
        <w:ind w:left="0" w:leftChars="0" w:firstLine="0" w:firstLineChars="0"/>
        <w:rPr>
          <w:rFonts w:hint="default" w:eastAsia="宋体" w:asciiTheme="minorAscii" w:hAnsiTheme="minorAscii"/>
          <w:b/>
          <w:bCs/>
          <w:sz w:val="24"/>
          <w:szCs w:val="24"/>
          <w:lang w:val="en-US" w:eastAsia="zh-CN"/>
        </w:rPr>
      </w:pPr>
      <w:r>
        <w:rPr>
          <w:rFonts w:hint="default" w:eastAsia="宋体" w:asciiTheme="minorAscii" w:hAnsiTheme="minorAscii"/>
          <w:b/>
          <w:bCs/>
          <w:sz w:val="24"/>
          <w:szCs w:val="24"/>
          <w:lang w:val="en-US" w:eastAsia="zh-CN"/>
        </w:rPr>
        <w:t>Orphan Drug Designation (ODD)</w:t>
      </w:r>
    </w:p>
    <w:p w14:paraId="43BD4E91">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Definition:</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 xml:space="preserve">Orphan Drug Designation is an FDA designation created to encourage the development of drugs for rare diseases. </w:t>
      </w:r>
    </w:p>
    <w:p w14:paraId="292609F5">
      <w:pPr>
        <w:numPr>
          <w:ilvl w:val="0"/>
          <w:numId w:val="0"/>
        </w:numPr>
        <w:spacing w:line="360" w:lineRule="auto"/>
        <w:ind w:leftChars="0"/>
        <w:rPr>
          <w:rFonts w:hint="default" w:eastAsia="宋体" w:asciiTheme="minorAscii" w:hAnsiTheme="minorAscii"/>
          <w:sz w:val="24"/>
          <w:szCs w:val="24"/>
          <w:lang w:val="en-US" w:eastAsia="zh-CN"/>
        </w:rPr>
      </w:pPr>
    </w:p>
    <w:p w14:paraId="54C0E167">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Eligibility Criteria:</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The drug must be intended for a rare disease – meaning the disease affects fewer than 200,000 people in the United States. ODD does not require an unmet medical need, nor does it impose hard requirements on disease severity or drug cost. It applies to drugs, biologics, medical devices, and medical foods.</w:t>
      </w:r>
    </w:p>
    <w:p w14:paraId="1E09A635">
      <w:pPr>
        <w:numPr>
          <w:ilvl w:val="0"/>
          <w:numId w:val="0"/>
        </w:numPr>
        <w:spacing w:line="360" w:lineRule="auto"/>
        <w:ind w:leftChars="0"/>
        <w:rPr>
          <w:rFonts w:hint="default" w:eastAsia="宋体" w:asciiTheme="minorAscii" w:hAnsiTheme="minorAscii"/>
          <w:sz w:val="24"/>
          <w:szCs w:val="24"/>
          <w:lang w:val="en-US" w:eastAsia="zh-CN"/>
        </w:rPr>
      </w:pPr>
    </w:p>
    <w:p w14:paraId="58B9E602">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Regulatory Advantages:</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Drugs with ODD receive 7 years of market exclusivity after approval – during that time, the FDA will not approve another identical drug for the same indication, offering strong commercial protection. Sponsors can claim a tax credit equal to 50% of clinical trial costs and are exempt from NDA/BLA application fees. Additionally, government grant funding is available</w:t>
      </w:r>
      <w:r>
        <w:rPr>
          <w:rFonts w:hint="eastAsia" w:asciiTheme="minorAscii" w:hAnsiTheme="minorAscii"/>
          <w:sz w:val="24"/>
          <w:szCs w:val="24"/>
          <w:lang w:val="en-US" w:eastAsia="zh-CN"/>
        </w:rPr>
        <w:t xml:space="preserve"> in </w:t>
      </w:r>
      <w:r>
        <w:rPr>
          <w:rFonts w:hint="default" w:eastAsia="宋体" w:asciiTheme="minorAscii" w:hAnsiTheme="minorAscii"/>
          <w:sz w:val="24"/>
          <w:szCs w:val="24"/>
          <w:lang w:val="en-US" w:eastAsia="zh-CN"/>
        </w:rPr>
        <w:t>PhaseI</w:t>
      </w:r>
      <w:r>
        <w:rPr>
          <w:rFonts w:hint="eastAsia" w:asciiTheme="minorAscii" w:hAnsiTheme="minorAscii"/>
          <w:sz w:val="24"/>
          <w:szCs w:val="24"/>
          <w:lang w:val="en-US" w:eastAsia="zh-CN"/>
        </w:rPr>
        <w:t>/</w:t>
      </w:r>
      <w:r>
        <w:rPr>
          <w:rFonts w:hint="default" w:eastAsia="宋体" w:asciiTheme="minorAscii" w:hAnsiTheme="minorAscii"/>
          <w:sz w:val="24"/>
          <w:szCs w:val="24"/>
          <w:lang w:val="en-US" w:eastAsia="zh-CN"/>
        </w:rPr>
        <w:t>II/III trials. More importantly, ODD can be stacked with other expedited programs.</w:t>
      </w:r>
    </w:p>
    <w:p w14:paraId="0C67EF03">
      <w:pPr>
        <w:numPr>
          <w:ilvl w:val="0"/>
          <w:numId w:val="0"/>
        </w:numPr>
        <w:spacing w:line="360" w:lineRule="auto"/>
        <w:ind w:leftChars="0"/>
        <w:rPr>
          <w:rFonts w:hint="default" w:eastAsia="宋体" w:asciiTheme="minorAscii" w:hAnsiTheme="minorAscii"/>
          <w:sz w:val="24"/>
          <w:szCs w:val="24"/>
          <w:lang w:val="en-US" w:eastAsia="zh-CN"/>
        </w:rPr>
      </w:pPr>
    </w:p>
    <w:p w14:paraId="6CB76E8D">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Typical Endpoints:</w:t>
      </w:r>
      <w:r>
        <w:rPr>
          <w:rFonts w:hint="default" w:eastAsia="宋体" w:asciiTheme="minorAscii" w:hAnsiTheme="minorAscii"/>
          <w:sz w:val="24"/>
          <w:szCs w:val="24"/>
          <w:lang w:val="en-US" w:eastAsia="zh-CN"/>
        </w:rPr>
        <w:br w:type="textWrapping"/>
      </w:r>
      <w:r>
        <w:rPr>
          <w:rFonts w:hint="default" w:eastAsia="宋体" w:asciiTheme="minorAscii" w:hAnsiTheme="minorAscii"/>
          <w:sz w:val="24"/>
          <w:szCs w:val="24"/>
          <w:lang w:val="en-US" w:eastAsia="zh-CN"/>
        </w:rPr>
        <w:t>ODD does not mandate any specific endpoints. Clinical trial design is more flexible – single-arm trials, lack of placebo control, and surrogate endpoints are acceptable, as long as they reasonably support the drug's safety and effectiveness.</w:t>
      </w:r>
    </w:p>
    <w:p w14:paraId="37703D0D">
      <w:pPr>
        <w:numPr>
          <w:ilvl w:val="0"/>
          <w:numId w:val="0"/>
        </w:numPr>
        <w:spacing w:line="360" w:lineRule="auto"/>
        <w:ind w:leftChars="0"/>
        <w:rPr>
          <w:rFonts w:hint="default" w:eastAsia="宋体" w:asciiTheme="minorAscii" w:hAnsiTheme="minorAscii"/>
          <w:sz w:val="24"/>
          <w:szCs w:val="24"/>
          <w:lang w:val="en-US" w:eastAsia="zh-CN"/>
        </w:rPr>
      </w:pPr>
    </w:p>
    <w:p w14:paraId="0C940AE9">
      <w:pPr>
        <w:numPr>
          <w:ilvl w:val="0"/>
          <w:numId w:val="1"/>
        </w:numPr>
        <w:spacing w:line="360" w:lineRule="auto"/>
        <w:ind w:left="0" w:leftChars="0" w:firstLine="0" w:firstLineChars="0"/>
        <w:rPr>
          <w:rFonts w:hint="default" w:eastAsia="宋体" w:asciiTheme="minorAscii" w:hAnsiTheme="minorAscii"/>
          <w:sz w:val="24"/>
          <w:szCs w:val="24"/>
          <w:lang w:val="en-US" w:eastAsia="zh-CN"/>
        </w:rPr>
      </w:pPr>
      <w:r>
        <w:rPr>
          <w:rFonts w:hint="default" w:eastAsia="宋体" w:asciiTheme="minorAscii" w:hAnsiTheme="minorAscii"/>
          <w:b/>
          <w:bCs/>
          <w:sz w:val="24"/>
          <w:szCs w:val="24"/>
          <w:lang w:val="en-US" w:eastAsia="zh-CN"/>
        </w:rPr>
        <w:t>Application to Dato</w:t>
      </w:r>
      <w:r>
        <w:rPr>
          <w:rFonts w:hint="default" w:eastAsia="宋体" w:asciiTheme="minorAscii" w:hAnsiTheme="minorAscii"/>
          <w:b/>
          <w:bCs/>
          <w:sz w:val="24"/>
          <w:szCs w:val="24"/>
          <w:lang w:val="en-US" w:eastAsia="zh-CN"/>
        </w:rPr>
        <w:noBreakHyphen/>
      </w:r>
      <w:r>
        <w:rPr>
          <w:rFonts w:hint="default" w:eastAsia="宋体" w:asciiTheme="minorAscii" w:hAnsiTheme="minorAscii"/>
          <w:b/>
          <w:bCs/>
          <w:sz w:val="24"/>
          <w:szCs w:val="24"/>
          <w:lang w:val="en-US" w:eastAsia="zh-CN"/>
        </w:rPr>
        <w:t>DXd</w:t>
      </w:r>
      <w:r>
        <w:rPr>
          <w:rFonts w:hint="default" w:eastAsia="宋体" w:asciiTheme="minorAscii" w:hAnsiTheme="minorAscii"/>
          <w:b/>
          <w:bCs/>
          <w:sz w:val="24"/>
          <w:szCs w:val="24"/>
          <w:lang w:val="en-US" w:eastAsia="zh-CN"/>
        </w:rPr>
        <w:br w:type="textWrapping"/>
      </w:r>
      <w:r>
        <w:rPr>
          <w:rFonts w:hint="eastAsia" w:asciiTheme="minorAscii" w:hAnsiTheme="minorAscii"/>
          <w:b/>
          <w:bCs/>
          <w:sz w:val="24"/>
          <w:szCs w:val="24"/>
          <w:lang w:val="en-US" w:eastAsia="zh-CN"/>
        </w:rPr>
        <w:t xml:space="preserve">2.1. </w:t>
      </w:r>
      <w:r>
        <w:rPr>
          <w:rFonts w:hint="default" w:eastAsia="宋体" w:asciiTheme="minorAscii" w:hAnsiTheme="minorAscii"/>
          <w:b/>
          <w:bCs/>
          <w:sz w:val="24"/>
          <w:szCs w:val="24"/>
          <w:lang w:val="en-US" w:eastAsia="zh-CN"/>
        </w:rPr>
        <w:t>Unmet Medical Need Analysis</w:t>
      </w:r>
    </w:p>
    <w:p w14:paraId="1C4847B1">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sz w:val="24"/>
          <w:szCs w:val="24"/>
          <w:lang w:val="en-US" w:eastAsia="zh-CN"/>
        </w:rPr>
        <w:t>Dato</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DXd partially addresses the unmet medical need in this patient population.</w:t>
      </w:r>
    </w:p>
    <w:p w14:paraId="1C9553E0">
      <w:pPr>
        <w:numPr>
          <w:ilvl w:val="0"/>
          <w:numId w:val="0"/>
        </w:numPr>
        <w:spacing w:line="360" w:lineRule="auto"/>
        <w:ind w:leftChars="0"/>
        <w:rPr>
          <w:rFonts w:hint="default" w:eastAsia="宋体" w:asciiTheme="minorAscii" w:hAnsiTheme="minorAscii"/>
          <w:sz w:val="24"/>
          <w:szCs w:val="24"/>
          <w:lang w:val="en-US" w:eastAsia="zh-CN"/>
        </w:rPr>
      </w:pPr>
    </w:p>
    <w:p w14:paraId="49CEB56A">
      <w:pPr>
        <w:numPr>
          <w:ilvl w:val="0"/>
          <w:numId w:val="0"/>
        </w:numPr>
        <w:spacing w:line="360" w:lineRule="auto"/>
        <w:ind w:leftChars="0"/>
        <w:rPr>
          <w:rFonts w:hint="eastAsia" w:asciiTheme="minorAscii" w:hAnsiTheme="minorAscii"/>
          <w:sz w:val="24"/>
          <w:szCs w:val="24"/>
          <w:lang w:val="en-US" w:eastAsia="zh-CN"/>
        </w:rPr>
      </w:pPr>
      <w:r>
        <w:rPr>
          <w:rFonts w:hint="default" w:eastAsia="宋体" w:asciiTheme="minorAscii" w:hAnsiTheme="minorAscii"/>
          <w:sz w:val="24"/>
          <w:szCs w:val="24"/>
          <w:lang w:val="en-US" w:eastAsia="zh-CN"/>
        </w:rPr>
        <w:t>According to the FDA approval summary (U.S. Food and Drug Administration, 2024a)</w:t>
      </w:r>
      <w:r>
        <w:rPr>
          <w:rFonts w:hint="eastAsia" w:asciiTheme="minorAscii" w:hAnsiTheme="minorAscii"/>
          <w:sz w:val="24"/>
          <w:szCs w:val="24"/>
          <w:lang w:val="en-US" w:eastAsia="zh-CN"/>
        </w:rPr>
        <w:t xml:space="preserve">. </w:t>
      </w:r>
    </w:p>
    <w:p w14:paraId="07A3E036">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sz w:val="24"/>
          <w:szCs w:val="24"/>
          <w:lang w:val="en-US" w:eastAsia="zh-CN"/>
        </w:rPr>
        <w:t>HR+/HER2− metastatic breast cancer is a serious and life</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threatening disease. All currently available treatments are palliative, so there is a clear unmet medical need. The standard of care is a CDK4/6 inhibitor combined with endocrine therapy; after progression, patients receive sequential endocrine</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based regimens followed by single</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agent chemotherapy . However, existing chemotherapy offers limited efficacy</w:t>
      </w:r>
      <w:r>
        <w:rPr>
          <w:rFonts w:hint="eastAsia" w:asciiTheme="minorAscii" w:hAnsiTheme="minorAscii"/>
          <w:sz w:val="24"/>
          <w:szCs w:val="24"/>
          <w:lang w:val="en-US" w:eastAsia="zh-CN"/>
        </w:rPr>
        <w:t xml:space="preserve">, </w:t>
      </w:r>
      <w:r>
        <w:rPr>
          <w:rFonts w:hint="default" w:eastAsia="宋体" w:asciiTheme="minorAscii" w:hAnsiTheme="minorAscii"/>
          <w:sz w:val="24"/>
          <w:szCs w:val="24"/>
          <w:lang w:val="en-US" w:eastAsia="zh-CN"/>
        </w:rPr>
        <w:t>median progression</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free survival is only about 4–5 months</w:t>
      </w:r>
      <w:r>
        <w:rPr>
          <w:rFonts w:hint="eastAsia" w:asciiTheme="minorAscii" w:hAnsiTheme="minorAscii"/>
          <w:sz w:val="24"/>
          <w:szCs w:val="24"/>
          <w:lang w:val="en-US" w:eastAsia="zh-CN"/>
        </w:rPr>
        <w:t xml:space="preserve"> </w:t>
      </w:r>
      <w:r>
        <w:rPr>
          <w:rFonts w:hint="default" w:eastAsia="宋体" w:asciiTheme="minorAscii" w:hAnsiTheme="minorAscii"/>
          <w:sz w:val="24"/>
          <w:szCs w:val="24"/>
          <w:lang w:val="en-US" w:eastAsia="zh-CN"/>
        </w:rPr>
        <w:t>and is associated with significant hematologic toxicity. In the chemotherapy arm, the incidence of grade 3–4 neutropenia was as high as 35%. Patients tolerate chemotherapy poorly, so new treatment options are needed.</w:t>
      </w:r>
    </w:p>
    <w:p w14:paraId="4E640698">
      <w:pPr>
        <w:numPr>
          <w:ilvl w:val="0"/>
          <w:numId w:val="0"/>
        </w:numPr>
        <w:spacing w:line="360" w:lineRule="auto"/>
        <w:ind w:leftChars="0"/>
        <w:rPr>
          <w:rFonts w:hint="default" w:eastAsia="宋体" w:asciiTheme="minorAscii" w:hAnsiTheme="minorAscii"/>
          <w:sz w:val="24"/>
          <w:szCs w:val="24"/>
          <w:lang w:val="en-US" w:eastAsia="zh-CN"/>
        </w:rPr>
      </w:pPr>
    </w:p>
    <w:p w14:paraId="7C652066">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sz w:val="24"/>
          <w:szCs w:val="24"/>
          <w:lang w:val="en-US" w:eastAsia="zh-CN"/>
        </w:rPr>
        <w:t>As a Trop</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2</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directed antibody</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drug conjugate, Dato</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DXd significantly prolongs PFS and improves</w:t>
      </w:r>
      <w:r>
        <w:rPr>
          <w:rFonts w:hint="eastAsia" w:asciiTheme="minorAscii" w:hAnsiTheme="minorAscii"/>
          <w:sz w:val="24"/>
          <w:szCs w:val="24"/>
          <w:lang w:val="en-US" w:eastAsia="zh-CN"/>
        </w:rPr>
        <w:t xml:space="preserve"> </w:t>
      </w:r>
      <w:r>
        <w:rPr>
          <w:rFonts w:hint="default" w:eastAsia="宋体" w:asciiTheme="minorAscii" w:hAnsiTheme="minorAscii"/>
          <w:sz w:val="24"/>
          <w:szCs w:val="24"/>
          <w:lang w:val="en-US" w:eastAsia="zh-CN"/>
        </w:rPr>
        <w:t>ORR and DoR compared with chemotherapy. Although OS did not show a benefit, the FDA considered that the results did not demonstrate a clear trend toward harm. More importantly, Dato</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DXd avoids the severe hematologic toxicities commonly seen with chemotherapy, offering an alternative for patients who cannot tolerate or wish to avoid such toxicity.</w:t>
      </w:r>
    </w:p>
    <w:p w14:paraId="3CC20843">
      <w:pPr>
        <w:numPr>
          <w:ilvl w:val="0"/>
          <w:numId w:val="0"/>
        </w:numPr>
        <w:spacing w:line="360" w:lineRule="auto"/>
        <w:ind w:leftChars="0"/>
        <w:rPr>
          <w:rFonts w:hint="default" w:eastAsia="宋体" w:asciiTheme="minorAscii" w:hAnsiTheme="minorAscii"/>
          <w:sz w:val="24"/>
          <w:szCs w:val="24"/>
          <w:lang w:val="en-US" w:eastAsia="zh-CN"/>
        </w:rPr>
      </w:pPr>
    </w:p>
    <w:p w14:paraId="3F959EB7">
      <w:pPr>
        <w:numPr>
          <w:ilvl w:val="0"/>
          <w:numId w:val="0"/>
        </w:numPr>
        <w:spacing w:line="360" w:lineRule="auto"/>
        <w:ind w:leftChars="0"/>
        <w:rPr>
          <w:rFonts w:hint="default" w:eastAsia="宋体" w:asciiTheme="minorAscii" w:hAnsiTheme="minorAscii"/>
          <w:sz w:val="24"/>
          <w:szCs w:val="24"/>
          <w:lang w:val="en-US" w:eastAsia="zh-CN"/>
        </w:rPr>
      </w:pPr>
      <w:r>
        <w:rPr>
          <w:rFonts w:hint="default" w:eastAsia="宋体" w:asciiTheme="minorAscii" w:hAnsiTheme="minorAscii"/>
          <w:sz w:val="24"/>
          <w:szCs w:val="24"/>
          <w:lang w:val="en-US" w:eastAsia="zh-CN"/>
        </w:rPr>
        <w:t>While Dato</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DXd does introduce new safety risks, and patients reported slightly worse overall side</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effect bother compared to chemotherapy (page 5), the FDA judged the overall benefit</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risk profile to be acceptable and ultimately approved the drug. Therefore, even though Dato</w:t>
      </w:r>
      <w:r>
        <w:rPr>
          <w:rFonts w:hint="default" w:eastAsia="宋体" w:asciiTheme="minorAscii" w:hAnsiTheme="minorAscii"/>
          <w:sz w:val="24"/>
          <w:szCs w:val="24"/>
          <w:lang w:val="en-US" w:eastAsia="zh-CN"/>
        </w:rPr>
        <w:noBreakHyphen/>
      </w:r>
      <w:r>
        <w:rPr>
          <w:rFonts w:hint="default" w:eastAsia="宋体" w:asciiTheme="minorAscii" w:hAnsiTheme="minorAscii"/>
          <w:sz w:val="24"/>
          <w:szCs w:val="24"/>
          <w:lang w:val="en-US" w:eastAsia="zh-CN"/>
        </w:rPr>
        <w:t>DXd does not extend overall survival, it does partially address the unmet medical need in this population.</w:t>
      </w:r>
    </w:p>
    <w:p w14:paraId="73945631">
      <w:pPr>
        <w:numPr>
          <w:ilvl w:val="0"/>
          <w:numId w:val="0"/>
        </w:numPr>
        <w:spacing w:line="360" w:lineRule="auto"/>
        <w:ind w:leftChars="0"/>
        <w:rPr>
          <w:rFonts w:hint="default" w:eastAsia="宋体" w:asciiTheme="minorAscii" w:hAnsiTheme="minorAscii"/>
          <w:sz w:val="24"/>
          <w:szCs w:val="24"/>
          <w:lang w:val="en-US" w:eastAsia="zh-CN"/>
        </w:rPr>
      </w:pPr>
      <w:r>
        <w:rPr>
          <w:rFonts w:hint="eastAsia" w:asciiTheme="minorAscii" w:hAnsiTheme="minorAscii"/>
          <w:sz w:val="24"/>
          <w:szCs w:val="24"/>
          <w:lang w:val="en-US" w:eastAsia="zh-CN"/>
        </w:rPr>
        <w:t>The details of data in table1</w:t>
      </w:r>
    </w:p>
    <w:p w14:paraId="1F10CEB1">
      <w:pPr>
        <w:numPr>
          <w:ilvl w:val="0"/>
          <w:numId w:val="0"/>
        </w:numPr>
        <w:spacing w:line="360" w:lineRule="auto"/>
        <w:ind w:leftChars="0"/>
        <w:rPr>
          <w:rFonts w:hint="default" w:eastAsia="宋体" w:asciiTheme="minorAscii" w:hAnsiTheme="minorAscii"/>
          <w:sz w:val="24"/>
          <w:szCs w:val="24"/>
          <w:lang w:val="en-US" w:eastAsia="zh-CN"/>
        </w:rPr>
      </w:pPr>
    </w:p>
    <w:tbl>
      <w:tblPr>
        <w:tblStyle w:val="3"/>
        <w:tblW w:w="85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54"/>
        <w:gridCol w:w="2787"/>
        <w:gridCol w:w="2470"/>
      </w:tblGrid>
      <w:tr w14:paraId="3CEFA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222A35" w:sz="6" w:space="0"/>
              <w:left w:val="single" w:color="222A35" w:sz="6" w:space="0"/>
              <w:bottom w:val="single" w:color="222A35" w:sz="6" w:space="0"/>
              <w:right w:val="single" w:color="98A7BD" w:sz="6" w:space="0"/>
            </w:tcBorders>
            <w:shd w:val="clear" w:color="auto" w:fill="222A35"/>
            <w:tcMar>
              <w:top w:w="120" w:type="dxa"/>
              <w:left w:w="0" w:type="dxa"/>
              <w:bottom w:w="120" w:type="dxa"/>
              <w:right w:w="192" w:type="dxa"/>
            </w:tcMar>
            <w:vAlign w:val="center"/>
          </w:tcPr>
          <w:p w14:paraId="23A88911">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r>
              <w:rPr>
                <w:rFonts w:hint="default" w:eastAsia="Segoe UI" w:cs="Segoe UI" w:asciiTheme="minorAscii" w:hAnsiTheme="minorAscii"/>
                <w:b/>
                <w:i w:val="0"/>
                <w:iCs w:val="0"/>
                <w:caps w:val="0"/>
                <w:color w:val="FFFFFF"/>
                <w:spacing w:val="0"/>
                <w:kern w:val="0"/>
                <w:sz w:val="24"/>
                <w:szCs w:val="24"/>
                <w:lang w:val="en-US" w:eastAsia="zh-CN" w:bidi="ar"/>
              </w:rPr>
              <w:t>Endpoint / Adverse Event</w:t>
            </w:r>
          </w:p>
        </w:tc>
        <w:tc>
          <w:tcPr>
            <w:tcW w:w="0" w:type="auto"/>
            <w:tcBorders>
              <w:top w:val="single" w:color="222A35" w:sz="6" w:space="0"/>
              <w:left w:val="single" w:color="98A7BD" w:sz="6" w:space="0"/>
              <w:bottom w:val="single" w:color="222A35" w:sz="6" w:space="0"/>
              <w:right w:val="single" w:color="98A7BD" w:sz="6" w:space="0"/>
            </w:tcBorders>
            <w:shd w:val="clear" w:color="auto" w:fill="222A35"/>
            <w:tcMar>
              <w:top w:w="120" w:type="dxa"/>
              <w:left w:w="192" w:type="dxa"/>
              <w:bottom w:w="120" w:type="dxa"/>
              <w:right w:w="192" w:type="dxa"/>
            </w:tcMar>
            <w:vAlign w:val="center"/>
          </w:tcPr>
          <w:p w14:paraId="1E7417B9">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r>
              <w:rPr>
                <w:rFonts w:hint="default" w:eastAsia="Segoe UI" w:cs="Segoe UI" w:asciiTheme="minorAscii" w:hAnsiTheme="minorAscii"/>
                <w:b/>
                <w:i w:val="0"/>
                <w:iCs w:val="0"/>
                <w:caps w:val="0"/>
                <w:color w:val="FFFFFF"/>
                <w:spacing w:val="0"/>
                <w:kern w:val="0"/>
                <w:sz w:val="24"/>
                <w:szCs w:val="24"/>
                <w:lang w:val="en-US" w:eastAsia="zh-CN" w:bidi="ar"/>
              </w:rPr>
              <w:t>Dato</w:t>
            </w:r>
            <w:r>
              <w:rPr>
                <w:rFonts w:hint="default" w:eastAsia="Segoe UI" w:cs="Segoe UI" w:asciiTheme="minorAscii" w:hAnsiTheme="minorAscii"/>
                <w:b/>
                <w:i w:val="0"/>
                <w:iCs w:val="0"/>
                <w:caps w:val="0"/>
                <w:color w:val="FFFFFF"/>
                <w:spacing w:val="0"/>
                <w:kern w:val="0"/>
                <w:sz w:val="24"/>
                <w:szCs w:val="24"/>
                <w:lang w:val="en-US" w:eastAsia="zh-CN" w:bidi="ar"/>
              </w:rPr>
              <w:noBreakHyphen/>
            </w:r>
            <w:r>
              <w:rPr>
                <w:rFonts w:hint="default" w:eastAsia="Segoe UI" w:cs="Segoe UI" w:asciiTheme="minorAscii" w:hAnsiTheme="minorAscii"/>
                <w:b/>
                <w:i w:val="0"/>
                <w:iCs w:val="0"/>
                <w:caps w:val="0"/>
                <w:color w:val="FFFFFF"/>
                <w:spacing w:val="0"/>
                <w:kern w:val="0"/>
                <w:sz w:val="24"/>
                <w:szCs w:val="24"/>
                <w:lang w:val="en-US" w:eastAsia="zh-CN" w:bidi="ar"/>
              </w:rPr>
              <w:t>DXd</w:t>
            </w:r>
          </w:p>
        </w:tc>
        <w:tc>
          <w:tcPr>
            <w:tcW w:w="2470" w:type="dxa"/>
            <w:tcBorders>
              <w:top w:val="single" w:color="222A35" w:sz="6" w:space="0"/>
              <w:left w:val="single" w:color="98A7BD" w:sz="6" w:space="0"/>
              <w:bottom w:val="single" w:color="222A35" w:sz="6" w:space="0"/>
              <w:right w:val="single" w:color="222A35" w:sz="6" w:space="0"/>
            </w:tcBorders>
            <w:shd w:val="clear" w:color="auto" w:fill="222A35"/>
            <w:tcMar>
              <w:top w:w="120" w:type="dxa"/>
              <w:left w:w="192" w:type="dxa"/>
              <w:bottom w:w="120" w:type="dxa"/>
              <w:right w:w="192" w:type="dxa"/>
            </w:tcMar>
            <w:vAlign w:val="center"/>
          </w:tcPr>
          <w:p w14:paraId="5C57E262">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r>
              <w:rPr>
                <w:rFonts w:hint="default" w:eastAsia="Segoe UI" w:cs="Segoe UI" w:asciiTheme="minorAscii" w:hAnsiTheme="minorAscii"/>
                <w:b/>
                <w:i w:val="0"/>
                <w:iCs w:val="0"/>
                <w:caps w:val="0"/>
                <w:color w:val="FFFFFF"/>
                <w:spacing w:val="0"/>
                <w:kern w:val="0"/>
                <w:sz w:val="24"/>
                <w:szCs w:val="24"/>
                <w:lang w:val="en-US" w:eastAsia="zh-CN" w:bidi="ar"/>
              </w:rPr>
              <w:t>Chemotherapy (ICC)</w:t>
            </w:r>
          </w:p>
        </w:tc>
      </w:tr>
      <w:tr w14:paraId="7CD2F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A35" w:sz="6" w:space="0"/>
              <w:left w:val="single" w:color="222A35" w:sz="6" w:space="0"/>
              <w:bottom w:val="single" w:color="98A7BD" w:sz="6" w:space="0"/>
              <w:right w:val="single" w:color="98A7BD" w:sz="6" w:space="0"/>
            </w:tcBorders>
            <w:shd w:val="clear" w:color="auto" w:fill="FFFFFF"/>
            <w:tcMar>
              <w:top w:w="120" w:type="dxa"/>
              <w:left w:w="0" w:type="dxa"/>
              <w:bottom w:w="120" w:type="dxa"/>
              <w:right w:w="192" w:type="dxa"/>
            </w:tcMar>
            <w:vAlign w:val="center"/>
          </w:tcPr>
          <w:p w14:paraId="07F67239">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Median PFS (months)</w:t>
            </w:r>
          </w:p>
        </w:tc>
        <w:tc>
          <w:tcPr>
            <w:tcW w:w="0" w:type="auto"/>
            <w:tcBorders>
              <w:top w:val="single" w:color="222A35"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4DB34F3F">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6.9</w:t>
            </w:r>
          </w:p>
        </w:tc>
        <w:tc>
          <w:tcPr>
            <w:tcW w:w="2470" w:type="dxa"/>
            <w:tcBorders>
              <w:top w:val="single" w:color="222A35"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00278DD9">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4.9</w:t>
            </w:r>
          </w:p>
        </w:tc>
      </w:tr>
      <w:tr w14:paraId="4B0FE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E5E9EE"/>
            <w:tcMar>
              <w:top w:w="120" w:type="dxa"/>
              <w:left w:w="0" w:type="dxa"/>
              <w:bottom w:w="120" w:type="dxa"/>
              <w:right w:w="192" w:type="dxa"/>
            </w:tcMar>
            <w:vAlign w:val="center"/>
          </w:tcPr>
          <w:p w14:paraId="210411B6">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PFS hazard ratio (HR)</w:t>
            </w:r>
          </w:p>
        </w:tc>
        <w:tc>
          <w:tcPr>
            <w:tcW w:w="0" w:type="auto"/>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107EC6DA">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0.63 (95% CI 0.52–0.76)</w:t>
            </w:r>
          </w:p>
        </w:tc>
        <w:tc>
          <w:tcPr>
            <w:tcW w:w="2470"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3BBB070D">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w:t>
            </w:r>
          </w:p>
        </w:tc>
      </w:tr>
      <w:tr w14:paraId="0CD51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FFFFFF"/>
            <w:tcMar>
              <w:top w:w="120" w:type="dxa"/>
              <w:left w:w="0" w:type="dxa"/>
              <w:bottom w:w="120" w:type="dxa"/>
              <w:right w:w="192" w:type="dxa"/>
            </w:tcMar>
            <w:vAlign w:val="center"/>
          </w:tcPr>
          <w:p w14:paraId="315844C9">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Objective response rate (ORR)</w:t>
            </w:r>
          </w:p>
        </w:tc>
        <w:tc>
          <w:tcPr>
            <w:tcW w:w="0" w:type="auto"/>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64E1A70C">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36%</w:t>
            </w:r>
          </w:p>
        </w:tc>
        <w:tc>
          <w:tcPr>
            <w:tcW w:w="2470" w:type="dxa"/>
            <w:tcBorders>
              <w:top w:val="single" w:color="98A7BD"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7CCEC52B">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23%</w:t>
            </w:r>
          </w:p>
        </w:tc>
      </w:tr>
      <w:tr w14:paraId="139D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E5E9EE"/>
            <w:tcMar>
              <w:top w:w="120" w:type="dxa"/>
              <w:left w:w="0" w:type="dxa"/>
              <w:bottom w:w="120" w:type="dxa"/>
              <w:right w:w="192" w:type="dxa"/>
            </w:tcMar>
            <w:vAlign w:val="center"/>
          </w:tcPr>
          <w:p w14:paraId="0766D88F">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Median DoR (months)</w:t>
            </w:r>
          </w:p>
        </w:tc>
        <w:tc>
          <w:tcPr>
            <w:tcW w:w="0" w:type="auto"/>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36608EF2">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6.7</w:t>
            </w:r>
          </w:p>
        </w:tc>
        <w:tc>
          <w:tcPr>
            <w:tcW w:w="2470"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147D7DB1">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5.7</w:t>
            </w:r>
          </w:p>
        </w:tc>
      </w:tr>
      <w:tr w14:paraId="7BD78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FFFFFF"/>
            <w:tcMar>
              <w:top w:w="120" w:type="dxa"/>
              <w:left w:w="0" w:type="dxa"/>
              <w:bottom w:w="120" w:type="dxa"/>
              <w:right w:w="192" w:type="dxa"/>
            </w:tcMar>
            <w:vAlign w:val="center"/>
          </w:tcPr>
          <w:p w14:paraId="0B014F79">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Median OS (months)</w:t>
            </w:r>
          </w:p>
        </w:tc>
        <w:tc>
          <w:tcPr>
            <w:tcW w:w="0" w:type="auto"/>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0CEBD7E6">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18.6</w:t>
            </w:r>
          </w:p>
        </w:tc>
        <w:tc>
          <w:tcPr>
            <w:tcW w:w="2470" w:type="dxa"/>
            <w:tcBorders>
              <w:top w:val="single" w:color="98A7BD"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4540613E">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18.3</w:t>
            </w:r>
          </w:p>
        </w:tc>
      </w:tr>
      <w:tr w14:paraId="4822B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E5E9EE"/>
            <w:tcMar>
              <w:top w:w="120" w:type="dxa"/>
              <w:left w:w="0" w:type="dxa"/>
              <w:bottom w:w="120" w:type="dxa"/>
              <w:right w:w="192" w:type="dxa"/>
            </w:tcMar>
            <w:vAlign w:val="center"/>
          </w:tcPr>
          <w:p w14:paraId="1B5AE834">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OS hazard ratio (HR)</w:t>
            </w:r>
          </w:p>
        </w:tc>
        <w:tc>
          <w:tcPr>
            <w:tcW w:w="0" w:type="auto"/>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53662357">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1.01 (95% CI 0.83–1.22)</w:t>
            </w:r>
          </w:p>
        </w:tc>
        <w:tc>
          <w:tcPr>
            <w:tcW w:w="2470"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12195459">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w:t>
            </w:r>
          </w:p>
        </w:tc>
      </w:tr>
      <w:tr w14:paraId="4BC50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FFFFFF"/>
            <w:tcMar>
              <w:top w:w="120" w:type="dxa"/>
              <w:left w:w="0" w:type="dxa"/>
              <w:bottom w:w="120" w:type="dxa"/>
              <w:right w:w="192" w:type="dxa"/>
            </w:tcMar>
            <w:vAlign w:val="center"/>
          </w:tcPr>
          <w:p w14:paraId="1751796F">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Grade 3</w:t>
            </w:r>
            <w:r>
              <w:rPr>
                <w:rFonts w:hint="default" w:eastAsia="Segoe UI" w:cs="Segoe UI" w:asciiTheme="minorAscii" w:hAnsiTheme="minorAscii"/>
                <w:b w:val="0"/>
                <w:i w:val="0"/>
                <w:iCs w:val="0"/>
                <w:caps w:val="0"/>
                <w:color w:val="000000"/>
                <w:spacing w:val="0"/>
                <w:kern w:val="0"/>
                <w:sz w:val="24"/>
                <w:szCs w:val="24"/>
                <w:lang w:val="en-US" w:eastAsia="zh-CN" w:bidi="ar"/>
              </w:rPr>
              <w:noBreakHyphen/>
            </w:r>
            <w:r>
              <w:rPr>
                <w:rFonts w:hint="default" w:eastAsia="Segoe UI" w:cs="Segoe UI" w:asciiTheme="minorAscii" w:hAnsiTheme="minorAscii"/>
                <w:b w:val="0"/>
                <w:i w:val="0"/>
                <w:iCs w:val="0"/>
                <w:caps w:val="0"/>
                <w:color w:val="000000"/>
                <w:spacing w:val="0"/>
                <w:kern w:val="0"/>
                <w:sz w:val="24"/>
                <w:szCs w:val="24"/>
                <w:lang w:val="en-US" w:eastAsia="zh-CN" w:bidi="ar"/>
              </w:rPr>
              <w:t>4 neutropenia</w:t>
            </w:r>
          </w:p>
        </w:tc>
        <w:tc>
          <w:tcPr>
            <w:tcW w:w="0" w:type="auto"/>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45F22E36">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1.6%</w:t>
            </w:r>
          </w:p>
        </w:tc>
        <w:tc>
          <w:tcPr>
            <w:tcW w:w="2470" w:type="dxa"/>
            <w:tcBorders>
              <w:top w:val="single" w:color="98A7BD"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43D13816">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35%</w:t>
            </w:r>
          </w:p>
        </w:tc>
      </w:tr>
      <w:tr w14:paraId="7904A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E5E9EE"/>
            <w:tcMar>
              <w:top w:w="120" w:type="dxa"/>
              <w:left w:w="0" w:type="dxa"/>
              <w:bottom w:w="120" w:type="dxa"/>
              <w:right w:w="192" w:type="dxa"/>
            </w:tcMar>
            <w:vAlign w:val="center"/>
          </w:tcPr>
          <w:p w14:paraId="7F611780">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Any</w:t>
            </w:r>
            <w:r>
              <w:rPr>
                <w:rFonts w:hint="default" w:eastAsia="Segoe UI" w:cs="Segoe UI" w:asciiTheme="minorAscii" w:hAnsiTheme="minorAscii"/>
                <w:b w:val="0"/>
                <w:i w:val="0"/>
                <w:iCs w:val="0"/>
                <w:caps w:val="0"/>
                <w:color w:val="000000"/>
                <w:spacing w:val="0"/>
                <w:kern w:val="0"/>
                <w:sz w:val="24"/>
                <w:szCs w:val="24"/>
                <w:lang w:val="en-US" w:eastAsia="zh-CN" w:bidi="ar"/>
              </w:rPr>
              <w:noBreakHyphen/>
            </w:r>
            <w:r>
              <w:rPr>
                <w:rFonts w:hint="default" w:eastAsia="Segoe UI" w:cs="Segoe UI" w:asciiTheme="minorAscii" w:hAnsiTheme="minorAscii"/>
                <w:b w:val="0"/>
                <w:i w:val="0"/>
                <w:iCs w:val="0"/>
                <w:caps w:val="0"/>
                <w:color w:val="000000"/>
                <w:spacing w:val="0"/>
                <w:kern w:val="0"/>
                <w:sz w:val="24"/>
                <w:szCs w:val="24"/>
                <w:lang w:val="en-US" w:eastAsia="zh-CN" w:bidi="ar"/>
              </w:rPr>
              <w:t>grade stomatitis</w:t>
            </w:r>
          </w:p>
        </w:tc>
        <w:tc>
          <w:tcPr>
            <w:tcW w:w="0" w:type="auto"/>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3716E7C7">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59%</w:t>
            </w:r>
          </w:p>
        </w:tc>
        <w:tc>
          <w:tcPr>
            <w:tcW w:w="2470"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746EF730">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17%</w:t>
            </w:r>
          </w:p>
        </w:tc>
      </w:tr>
      <w:tr w14:paraId="2FE8F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FFFFFF"/>
            <w:tcMar>
              <w:top w:w="120" w:type="dxa"/>
              <w:left w:w="0" w:type="dxa"/>
              <w:bottom w:w="120" w:type="dxa"/>
              <w:right w:w="192" w:type="dxa"/>
            </w:tcMar>
            <w:vAlign w:val="center"/>
          </w:tcPr>
          <w:p w14:paraId="386D7348">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Any</w:t>
            </w:r>
            <w:r>
              <w:rPr>
                <w:rFonts w:hint="default" w:eastAsia="Segoe UI" w:cs="Segoe UI" w:asciiTheme="minorAscii" w:hAnsiTheme="minorAscii"/>
                <w:b w:val="0"/>
                <w:i w:val="0"/>
                <w:iCs w:val="0"/>
                <w:caps w:val="0"/>
                <w:color w:val="000000"/>
                <w:spacing w:val="0"/>
                <w:kern w:val="0"/>
                <w:sz w:val="24"/>
                <w:szCs w:val="24"/>
                <w:lang w:val="en-US" w:eastAsia="zh-CN" w:bidi="ar"/>
              </w:rPr>
              <w:noBreakHyphen/>
            </w:r>
            <w:r>
              <w:rPr>
                <w:rFonts w:hint="default" w:eastAsia="Segoe UI" w:cs="Segoe UI" w:asciiTheme="minorAscii" w:hAnsiTheme="minorAscii"/>
                <w:b w:val="0"/>
                <w:i w:val="0"/>
                <w:iCs w:val="0"/>
                <w:caps w:val="0"/>
                <w:color w:val="000000"/>
                <w:spacing w:val="0"/>
                <w:kern w:val="0"/>
                <w:sz w:val="24"/>
                <w:szCs w:val="24"/>
                <w:lang w:val="en-US" w:eastAsia="zh-CN" w:bidi="ar"/>
              </w:rPr>
              <w:t>grade dry eye</w:t>
            </w:r>
          </w:p>
        </w:tc>
        <w:tc>
          <w:tcPr>
            <w:tcW w:w="0" w:type="auto"/>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04E0ED90">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27%</w:t>
            </w:r>
          </w:p>
        </w:tc>
        <w:tc>
          <w:tcPr>
            <w:tcW w:w="2470" w:type="dxa"/>
            <w:tcBorders>
              <w:top w:val="single" w:color="98A7BD"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746C0CBF">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13%</w:t>
            </w:r>
          </w:p>
        </w:tc>
      </w:tr>
      <w:tr w14:paraId="3B2C8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98A7BD" w:sz="6" w:space="0"/>
              <w:left w:val="single" w:color="222A35" w:sz="6" w:space="0"/>
              <w:bottom w:val="single" w:color="98A7BD" w:sz="6" w:space="0"/>
              <w:right w:val="single" w:color="98A7BD" w:sz="6" w:space="0"/>
            </w:tcBorders>
            <w:shd w:val="clear" w:color="auto" w:fill="E5E9EE"/>
            <w:tcMar>
              <w:top w:w="120" w:type="dxa"/>
              <w:left w:w="0" w:type="dxa"/>
              <w:bottom w:w="120" w:type="dxa"/>
              <w:right w:w="192" w:type="dxa"/>
            </w:tcMar>
            <w:vAlign w:val="center"/>
          </w:tcPr>
          <w:p w14:paraId="4304A166">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Any</w:t>
            </w:r>
            <w:r>
              <w:rPr>
                <w:rFonts w:hint="default" w:eastAsia="Segoe UI" w:cs="Segoe UI" w:asciiTheme="minorAscii" w:hAnsiTheme="minorAscii"/>
                <w:b w:val="0"/>
                <w:i w:val="0"/>
                <w:iCs w:val="0"/>
                <w:caps w:val="0"/>
                <w:color w:val="000000"/>
                <w:spacing w:val="0"/>
                <w:kern w:val="0"/>
                <w:sz w:val="24"/>
                <w:szCs w:val="24"/>
                <w:lang w:val="en-US" w:eastAsia="zh-CN" w:bidi="ar"/>
              </w:rPr>
              <w:noBreakHyphen/>
            </w:r>
            <w:r>
              <w:rPr>
                <w:rFonts w:hint="default" w:eastAsia="Segoe UI" w:cs="Segoe UI" w:asciiTheme="minorAscii" w:hAnsiTheme="minorAscii"/>
                <w:b w:val="0"/>
                <w:i w:val="0"/>
                <w:iCs w:val="0"/>
                <w:caps w:val="0"/>
                <w:color w:val="000000"/>
                <w:spacing w:val="0"/>
                <w:kern w:val="0"/>
                <w:sz w:val="24"/>
                <w:szCs w:val="24"/>
                <w:lang w:val="en-US" w:eastAsia="zh-CN" w:bidi="ar"/>
              </w:rPr>
              <w:t>grade keratitis</w:t>
            </w:r>
          </w:p>
        </w:tc>
        <w:tc>
          <w:tcPr>
            <w:tcW w:w="0" w:type="auto"/>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753DD8E8">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24%</w:t>
            </w:r>
          </w:p>
        </w:tc>
        <w:tc>
          <w:tcPr>
            <w:tcW w:w="2470"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0BC4F7A2">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10%</w:t>
            </w:r>
          </w:p>
        </w:tc>
      </w:tr>
      <w:tr w14:paraId="2578D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254" w:type="dxa"/>
            <w:tcBorders>
              <w:top w:val="single" w:color="98A7BD" w:sz="6" w:space="0"/>
              <w:left w:val="single" w:color="222A35" w:sz="6" w:space="0"/>
              <w:bottom w:val="single" w:color="222A35" w:sz="6" w:space="0"/>
              <w:right w:val="single" w:color="98A7BD" w:sz="6" w:space="0"/>
            </w:tcBorders>
            <w:shd w:val="clear" w:color="auto" w:fill="FFFFFF"/>
            <w:tcMar>
              <w:top w:w="120" w:type="dxa"/>
              <w:left w:w="0" w:type="dxa"/>
              <w:bottom w:w="120" w:type="dxa"/>
              <w:right w:w="192" w:type="dxa"/>
            </w:tcMar>
            <w:vAlign w:val="center"/>
          </w:tcPr>
          <w:p w14:paraId="32D08990">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Interstitial lung disease (ILD)</w:t>
            </w:r>
          </w:p>
        </w:tc>
        <w:tc>
          <w:tcPr>
            <w:tcW w:w="2787" w:type="dxa"/>
            <w:tcBorders>
              <w:top w:val="single" w:color="98A7BD" w:sz="6" w:space="0"/>
              <w:left w:val="single" w:color="98A7BD" w:sz="6" w:space="0"/>
              <w:bottom w:val="single" w:color="222A35" w:sz="6" w:space="0"/>
              <w:right w:val="single" w:color="98A7BD" w:sz="6" w:space="0"/>
            </w:tcBorders>
            <w:shd w:val="clear" w:color="auto" w:fill="FFFFFF"/>
            <w:tcMar>
              <w:top w:w="120" w:type="dxa"/>
              <w:left w:w="192" w:type="dxa"/>
              <w:bottom w:w="120" w:type="dxa"/>
              <w:right w:w="192" w:type="dxa"/>
            </w:tcMar>
            <w:vAlign w:val="center"/>
          </w:tcPr>
          <w:p w14:paraId="4453A5DE">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4.2%</w:t>
            </w:r>
          </w:p>
        </w:tc>
        <w:tc>
          <w:tcPr>
            <w:tcW w:w="2470" w:type="dxa"/>
            <w:tcBorders>
              <w:top w:val="single" w:color="98A7BD" w:sz="6" w:space="0"/>
              <w:left w:val="single" w:color="98A7BD" w:sz="6" w:space="0"/>
              <w:bottom w:val="single" w:color="222A35" w:sz="6" w:space="0"/>
              <w:right w:val="single" w:color="222A35" w:sz="6" w:space="0"/>
            </w:tcBorders>
            <w:shd w:val="clear" w:color="auto" w:fill="FFFFFF"/>
            <w:tcMar>
              <w:top w:w="120" w:type="dxa"/>
              <w:left w:w="192" w:type="dxa"/>
              <w:bottom w:w="120" w:type="dxa"/>
              <w:right w:w="0" w:type="dxa"/>
            </w:tcMar>
            <w:vAlign w:val="center"/>
          </w:tcPr>
          <w:p w14:paraId="6D4E6481">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w:t>
            </w:r>
          </w:p>
        </w:tc>
      </w:tr>
    </w:tbl>
    <w:p w14:paraId="21D50118">
      <w:pPr>
        <w:numPr>
          <w:ilvl w:val="0"/>
          <w:numId w:val="0"/>
        </w:numPr>
        <w:spacing w:line="360" w:lineRule="auto"/>
        <w:ind w:leftChars="0"/>
        <w:jc w:val="center"/>
        <w:rPr>
          <w:rFonts w:hint="eastAsia" w:asciiTheme="minorAscii" w:hAnsiTheme="minorAscii"/>
          <w:sz w:val="24"/>
          <w:szCs w:val="24"/>
          <w:lang w:val="en-US" w:eastAsia="zh-CN"/>
        </w:rPr>
      </w:pPr>
    </w:p>
    <w:p w14:paraId="0C0D5A87">
      <w:pPr>
        <w:numPr>
          <w:ilvl w:val="0"/>
          <w:numId w:val="0"/>
        </w:numPr>
        <w:spacing w:line="360" w:lineRule="auto"/>
        <w:ind w:leftChars="0"/>
        <w:jc w:val="center"/>
        <w:rPr>
          <w:rFonts w:hint="eastAsia" w:asciiTheme="minorAscii" w:hAnsiTheme="minorAscii"/>
          <w:sz w:val="24"/>
          <w:szCs w:val="24"/>
          <w:lang w:val="en-US" w:eastAsia="zh-CN"/>
        </w:rPr>
      </w:pPr>
      <w:r>
        <w:rPr>
          <w:rFonts w:hint="eastAsia" w:asciiTheme="minorAscii" w:hAnsiTheme="minorAscii"/>
          <w:sz w:val="24"/>
          <w:szCs w:val="24"/>
          <w:lang w:val="en-US" w:eastAsia="zh-CN"/>
        </w:rPr>
        <w:t>Table 1 Comparison of Key Outcomes from the TROPION-Breast01 Trial.</w:t>
      </w:r>
    </w:p>
    <w:p w14:paraId="1D00D9B6">
      <w:pPr>
        <w:numPr>
          <w:ilvl w:val="0"/>
          <w:numId w:val="0"/>
        </w:numPr>
        <w:spacing w:line="360" w:lineRule="auto"/>
        <w:ind w:leftChars="0"/>
        <w:jc w:val="center"/>
        <w:rPr>
          <w:rFonts w:hint="eastAsia" w:asciiTheme="minorAscii" w:hAnsiTheme="minorAscii"/>
          <w:sz w:val="24"/>
          <w:szCs w:val="24"/>
          <w:lang w:val="en-US" w:eastAsia="zh-CN"/>
        </w:rPr>
      </w:pPr>
    </w:p>
    <w:p w14:paraId="50456FEB">
      <w:pPr>
        <w:numPr>
          <w:ilvl w:val="0"/>
          <w:numId w:val="0"/>
        </w:numPr>
        <w:spacing w:line="360" w:lineRule="auto"/>
        <w:ind w:leftChars="0"/>
        <w:jc w:val="both"/>
        <w:rPr>
          <w:rFonts w:hint="default" w:asciiTheme="minorAscii" w:hAnsiTheme="minorAscii"/>
          <w:b/>
          <w:bCs/>
          <w:sz w:val="24"/>
          <w:szCs w:val="24"/>
          <w:lang w:val="en-US" w:eastAsia="zh-CN"/>
        </w:rPr>
      </w:pPr>
      <w:r>
        <w:rPr>
          <w:rFonts w:hint="default" w:asciiTheme="minorAscii" w:hAnsiTheme="minorAscii"/>
          <w:b/>
          <w:bCs/>
          <w:sz w:val="24"/>
          <w:szCs w:val="24"/>
          <w:lang w:val="en-US" w:eastAsia="zh-CN"/>
        </w:rPr>
        <w:t>2.2.</w:t>
      </w:r>
      <w:r>
        <w:rPr>
          <w:rFonts w:hint="eastAsia" w:asciiTheme="minorAscii" w:hAnsiTheme="minorAscii"/>
          <w:b/>
          <w:bCs/>
          <w:sz w:val="24"/>
          <w:szCs w:val="24"/>
          <w:lang w:val="en-US" w:eastAsia="zh-CN"/>
        </w:rPr>
        <w:t>FT and BT</w:t>
      </w:r>
      <w:r>
        <w:rPr>
          <w:rFonts w:hint="default" w:asciiTheme="minorAscii" w:hAnsiTheme="minorAscii"/>
          <w:b/>
          <w:bCs/>
          <w:sz w:val="24"/>
          <w:szCs w:val="24"/>
          <w:lang w:val="en-US" w:eastAsia="zh-CN"/>
        </w:rPr>
        <w:t xml:space="preserve"> Eligibility Assessment</w:t>
      </w:r>
      <w:r>
        <w:rPr>
          <w:rFonts w:hint="default" w:asciiTheme="minorAscii" w:hAnsiTheme="minorAscii"/>
          <w:b/>
          <w:bCs/>
          <w:sz w:val="24"/>
          <w:szCs w:val="24"/>
          <w:lang w:val="en-US" w:eastAsia="zh-CN"/>
        </w:rPr>
        <w:br w:type="textWrapping"/>
      </w:r>
      <w:r>
        <w:rPr>
          <w:rFonts w:hint="default" w:asciiTheme="minorAscii" w:hAnsiTheme="minorAscii"/>
          <w:b/>
          <w:bCs/>
          <w:sz w:val="24"/>
          <w:szCs w:val="24"/>
          <w:lang w:val="en-US" w:eastAsia="zh-CN"/>
        </w:rPr>
        <w:t>2.2.1. F</w:t>
      </w:r>
      <w:r>
        <w:rPr>
          <w:rFonts w:hint="eastAsia" w:asciiTheme="minorAscii" w:hAnsiTheme="minorAscii"/>
          <w:b/>
          <w:bCs/>
          <w:sz w:val="24"/>
          <w:szCs w:val="24"/>
          <w:lang w:val="en-US" w:eastAsia="zh-CN"/>
        </w:rPr>
        <w:t xml:space="preserve">T </w:t>
      </w:r>
      <w:r>
        <w:rPr>
          <w:rFonts w:hint="default" w:asciiTheme="minorAscii" w:hAnsiTheme="minorAscii"/>
          <w:b/>
          <w:bCs/>
          <w:sz w:val="24"/>
          <w:szCs w:val="24"/>
          <w:lang w:val="en-US" w:eastAsia="zh-CN"/>
        </w:rPr>
        <w:t>Eligibility</w:t>
      </w:r>
    </w:p>
    <w:p w14:paraId="77ECD57C">
      <w:pPr>
        <w:numPr>
          <w:ilvl w:val="0"/>
          <w:numId w:val="0"/>
        </w:numPr>
        <w:spacing w:line="360" w:lineRule="auto"/>
        <w:ind w:leftChars="0"/>
        <w:jc w:val="both"/>
        <w:rPr>
          <w:rFonts w:hint="default" w:asciiTheme="minorAscii" w:hAnsiTheme="minorAscii"/>
          <w:sz w:val="24"/>
          <w:szCs w:val="24"/>
          <w:lang w:val="en-US" w:eastAsia="zh-CN"/>
        </w:rPr>
      </w:pPr>
      <w:r>
        <w:rPr>
          <w:rFonts w:hint="default" w:asciiTheme="minorAscii" w:hAnsiTheme="minorAscii"/>
          <w:sz w:val="24"/>
          <w:szCs w:val="24"/>
          <w:lang w:val="en-US" w:eastAsia="zh-CN"/>
        </w:rPr>
        <w:t>Dato</w:t>
      </w:r>
      <w:r>
        <w:rPr>
          <w:rFonts w:hint="default" w:asciiTheme="minorAscii" w:hAnsiTheme="minorAscii"/>
          <w:sz w:val="24"/>
          <w:szCs w:val="24"/>
          <w:lang w:val="en-US" w:eastAsia="zh-CN"/>
        </w:rPr>
        <w:noBreakHyphen/>
      </w:r>
      <w:r>
        <w:rPr>
          <w:rFonts w:hint="default" w:asciiTheme="minorAscii" w:hAnsiTheme="minorAscii"/>
          <w:sz w:val="24"/>
          <w:szCs w:val="24"/>
          <w:lang w:val="en-US" w:eastAsia="zh-CN"/>
        </w:rPr>
        <w:t>DXd meets the criteria for FT.</w:t>
      </w:r>
    </w:p>
    <w:p w14:paraId="6FDB00B4">
      <w:pPr>
        <w:numPr>
          <w:ilvl w:val="0"/>
          <w:numId w:val="0"/>
        </w:numPr>
        <w:spacing w:line="360" w:lineRule="auto"/>
        <w:ind w:leftChars="0"/>
        <w:jc w:val="both"/>
        <w:rPr>
          <w:rFonts w:hint="default" w:asciiTheme="minorAscii" w:hAnsiTheme="minorAscii"/>
          <w:sz w:val="24"/>
          <w:szCs w:val="24"/>
          <w:lang w:val="en-US" w:eastAsia="zh-CN"/>
        </w:rPr>
      </w:pPr>
      <w:r>
        <w:rPr>
          <w:rFonts w:hint="default" w:asciiTheme="minorAscii" w:hAnsiTheme="minorAscii"/>
          <w:sz w:val="24"/>
          <w:szCs w:val="24"/>
          <w:lang w:val="en-US" w:eastAsia="zh-CN"/>
        </w:rPr>
        <w:t>HR+/HER2− metastatic breast cancer qualifies as a serious condition with an unmet medical need. In early development, Dato</w:t>
      </w:r>
      <w:r>
        <w:rPr>
          <w:rFonts w:hint="default" w:asciiTheme="minorAscii" w:hAnsiTheme="minorAscii"/>
          <w:sz w:val="24"/>
          <w:szCs w:val="24"/>
          <w:lang w:val="en-US" w:eastAsia="zh-CN"/>
        </w:rPr>
        <w:noBreakHyphen/>
      </w:r>
      <w:r>
        <w:rPr>
          <w:rFonts w:hint="default" w:asciiTheme="minorAscii" w:hAnsiTheme="minorAscii"/>
          <w:sz w:val="24"/>
          <w:szCs w:val="24"/>
          <w:lang w:val="en-US" w:eastAsia="zh-CN"/>
        </w:rPr>
        <w:t>DXd had already demonstrated Trop</w:t>
      </w:r>
      <w:r>
        <w:rPr>
          <w:rFonts w:hint="default" w:asciiTheme="minorAscii" w:hAnsiTheme="minorAscii"/>
          <w:sz w:val="24"/>
          <w:szCs w:val="24"/>
          <w:lang w:val="en-US" w:eastAsia="zh-CN"/>
        </w:rPr>
        <w:noBreakHyphen/>
      </w:r>
      <w:r>
        <w:rPr>
          <w:rFonts w:hint="default" w:asciiTheme="minorAscii" w:hAnsiTheme="minorAscii"/>
          <w:sz w:val="24"/>
          <w:szCs w:val="24"/>
          <w:lang w:val="en-US" w:eastAsia="zh-CN"/>
        </w:rPr>
        <w:t>2</w:t>
      </w:r>
      <w:r>
        <w:rPr>
          <w:rFonts w:hint="default" w:asciiTheme="minorAscii" w:hAnsiTheme="minorAscii"/>
          <w:sz w:val="24"/>
          <w:szCs w:val="24"/>
          <w:lang w:val="en-US" w:eastAsia="zh-CN"/>
        </w:rPr>
        <w:noBreakHyphen/>
      </w:r>
      <w:r>
        <w:rPr>
          <w:rFonts w:hint="default" w:asciiTheme="minorAscii" w:hAnsiTheme="minorAscii"/>
          <w:sz w:val="24"/>
          <w:szCs w:val="24"/>
          <w:lang w:val="en-US" w:eastAsia="zh-CN"/>
        </w:rPr>
        <w:t>directed antitumor activity and an acceptable safety profile. The subsequent TROPION</w:t>
      </w:r>
      <w:r>
        <w:rPr>
          <w:rFonts w:hint="default" w:asciiTheme="minorAscii" w:hAnsiTheme="minorAscii"/>
          <w:sz w:val="24"/>
          <w:szCs w:val="24"/>
          <w:lang w:val="en-US" w:eastAsia="zh-CN"/>
        </w:rPr>
        <w:noBreakHyphen/>
      </w:r>
      <w:r>
        <w:rPr>
          <w:rFonts w:hint="default" w:asciiTheme="minorAscii" w:hAnsiTheme="minorAscii"/>
          <w:sz w:val="24"/>
          <w:szCs w:val="24"/>
          <w:lang w:val="en-US" w:eastAsia="zh-CN"/>
        </w:rPr>
        <w:t>Breast01 trial further confirmed the drug's advantages over chemotherapy in terms of PFS and ORR (Table 1). Therefore, Dato</w:t>
      </w:r>
      <w:r>
        <w:rPr>
          <w:rFonts w:hint="default" w:asciiTheme="minorAscii" w:hAnsiTheme="minorAscii"/>
          <w:sz w:val="24"/>
          <w:szCs w:val="24"/>
          <w:lang w:val="en-US" w:eastAsia="zh-CN"/>
        </w:rPr>
        <w:noBreakHyphen/>
      </w:r>
      <w:r>
        <w:rPr>
          <w:rFonts w:hint="default" w:asciiTheme="minorAscii" w:hAnsiTheme="minorAscii"/>
          <w:sz w:val="24"/>
          <w:szCs w:val="24"/>
          <w:lang w:val="en-US" w:eastAsia="zh-CN"/>
        </w:rPr>
        <w:t>DXd fully satisfies the Fast Track criteria, and a sponsor applying during Phase I/II would likely receive this designation.</w:t>
      </w:r>
    </w:p>
    <w:p w14:paraId="5716667F">
      <w:pPr>
        <w:numPr>
          <w:ilvl w:val="0"/>
          <w:numId w:val="0"/>
        </w:numPr>
        <w:spacing w:line="360" w:lineRule="auto"/>
        <w:ind w:leftChars="0"/>
        <w:jc w:val="both"/>
        <w:rPr>
          <w:rFonts w:hint="default" w:asciiTheme="minorAscii" w:hAnsiTheme="minorAscii"/>
          <w:sz w:val="24"/>
          <w:szCs w:val="24"/>
          <w:lang w:val="en-US" w:eastAsia="zh-CN"/>
        </w:rPr>
      </w:pPr>
    </w:p>
    <w:p w14:paraId="28A259C6">
      <w:pPr>
        <w:spacing w:line="360" w:lineRule="auto"/>
        <w:rPr>
          <w:rFonts w:hint="default"/>
          <w:sz w:val="24"/>
          <w:szCs w:val="24"/>
        </w:rPr>
      </w:pPr>
      <w:r>
        <w:rPr>
          <w:rFonts w:hint="default"/>
          <w:b/>
          <w:bCs/>
          <w:sz w:val="24"/>
          <w:szCs w:val="24"/>
        </w:rPr>
        <w:t>2.2.2. B</w:t>
      </w:r>
      <w:r>
        <w:rPr>
          <w:rFonts w:hint="eastAsia"/>
          <w:b/>
          <w:bCs/>
          <w:sz w:val="24"/>
          <w:szCs w:val="24"/>
          <w:lang w:val="en-US" w:eastAsia="zh-CN"/>
        </w:rPr>
        <w:t>TD</w:t>
      </w:r>
      <w:r>
        <w:rPr>
          <w:rFonts w:hint="default"/>
          <w:b/>
          <w:bCs/>
          <w:sz w:val="24"/>
          <w:szCs w:val="24"/>
        </w:rPr>
        <w:t xml:space="preserve"> Eligibility</w:t>
      </w:r>
    </w:p>
    <w:p w14:paraId="6A4FE1EB">
      <w:pPr>
        <w:spacing w:line="360" w:lineRule="auto"/>
        <w:rPr>
          <w:rFonts w:hint="default"/>
          <w:sz w:val="24"/>
          <w:szCs w:val="24"/>
        </w:rPr>
      </w:pPr>
      <w:r>
        <w:rPr>
          <w:rFonts w:hint="default"/>
          <w:sz w:val="24"/>
          <w:szCs w:val="24"/>
        </w:rPr>
        <w:t>Dato</w:t>
      </w:r>
      <w:r>
        <w:rPr>
          <w:rFonts w:hint="default"/>
          <w:sz w:val="24"/>
          <w:szCs w:val="24"/>
        </w:rPr>
        <w:noBreakHyphen/>
      </w:r>
      <w:r>
        <w:rPr>
          <w:rFonts w:hint="default"/>
          <w:sz w:val="24"/>
          <w:szCs w:val="24"/>
        </w:rPr>
        <w:t xml:space="preserve">DXd does not meet the criteria for </w:t>
      </w:r>
      <w:r>
        <w:rPr>
          <w:rFonts w:hint="eastAsia"/>
          <w:sz w:val="24"/>
          <w:szCs w:val="24"/>
          <w:lang w:val="en-US" w:eastAsia="zh-CN"/>
        </w:rPr>
        <w:t>BTD</w:t>
      </w:r>
      <w:r>
        <w:rPr>
          <w:rFonts w:hint="default"/>
          <w:sz w:val="24"/>
          <w:szCs w:val="24"/>
        </w:rPr>
        <w:t>.</w:t>
      </w:r>
    </w:p>
    <w:p w14:paraId="11527511">
      <w:pPr>
        <w:spacing w:line="360" w:lineRule="auto"/>
        <w:rPr>
          <w:rFonts w:hint="default"/>
          <w:sz w:val="24"/>
          <w:szCs w:val="24"/>
        </w:rPr>
      </w:pPr>
    </w:p>
    <w:p w14:paraId="681C0FC4">
      <w:pPr>
        <w:spacing w:line="360" w:lineRule="auto"/>
        <w:rPr>
          <w:rFonts w:hint="default"/>
          <w:sz w:val="24"/>
          <w:szCs w:val="24"/>
        </w:rPr>
      </w:pPr>
      <w:r>
        <w:rPr>
          <w:rFonts w:hint="default"/>
          <w:sz w:val="24"/>
          <w:szCs w:val="24"/>
        </w:rPr>
        <w:t>BT</w:t>
      </w:r>
      <w:r>
        <w:rPr>
          <w:rFonts w:hint="eastAsia"/>
          <w:sz w:val="24"/>
          <w:szCs w:val="24"/>
          <w:lang w:val="en-US" w:eastAsia="zh-CN"/>
        </w:rPr>
        <w:t>D</w:t>
      </w:r>
      <w:r>
        <w:rPr>
          <w:rFonts w:hint="default"/>
          <w:sz w:val="24"/>
          <w:szCs w:val="24"/>
        </w:rPr>
        <w:t xml:space="preserve"> requires preliminary clinical evidence showing that the drug offers a substantial improvement over existing therapies on a clinically meaningful endpoint. </w:t>
      </w:r>
    </w:p>
    <w:p w14:paraId="5BFBF91B">
      <w:pPr>
        <w:spacing w:line="360" w:lineRule="auto"/>
        <w:rPr>
          <w:rFonts w:hint="default"/>
          <w:sz w:val="24"/>
          <w:szCs w:val="24"/>
        </w:rPr>
      </w:pPr>
    </w:p>
    <w:p w14:paraId="7EA408CE">
      <w:pPr>
        <w:spacing w:line="360" w:lineRule="auto"/>
        <w:rPr>
          <w:rFonts w:hint="default"/>
          <w:sz w:val="24"/>
          <w:szCs w:val="24"/>
        </w:rPr>
      </w:pPr>
      <w:r>
        <w:rPr>
          <w:rFonts w:hint="default"/>
          <w:sz w:val="24"/>
          <w:szCs w:val="24"/>
        </w:rPr>
        <w:t>Although Dato</w:t>
      </w:r>
      <w:r>
        <w:rPr>
          <w:rFonts w:hint="default"/>
          <w:sz w:val="24"/>
          <w:szCs w:val="24"/>
        </w:rPr>
        <w:noBreakHyphen/>
      </w:r>
      <w:r>
        <w:rPr>
          <w:rFonts w:hint="default"/>
          <w:sz w:val="24"/>
          <w:szCs w:val="24"/>
        </w:rPr>
        <w:t>DXd achieved statistically significant improvements in PFS and ORR, the magnitude of benefit was modest – a median PFS extension of about 2 months, an absolute ORR increase of 13%, and no overall survival benefit (HR 1.01). This level of efficacy does not constitute a substantial improvement.</w:t>
      </w:r>
    </w:p>
    <w:p w14:paraId="2E5EA612">
      <w:pPr>
        <w:spacing w:line="360" w:lineRule="auto"/>
        <w:rPr>
          <w:rFonts w:hint="default"/>
          <w:sz w:val="24"/>
          <w:szCs w:val="24"/>
        </w:rPr>
      </w:pPr>
    </w:p>
    <w:p w14:paraId="185B11D4">
      <w:pPr>
        <w:spacing w:line="360" w:lineRule="auto"/>
        <w:rPr>
          <w:rFonts w:hint="default"/>
          <w:sz w:val="24"/>
          <w:szCs w:val="24"/>
        </w:rPr>
      </w:pPr>
      <w:r>
        <w:rPr>
          <w:rFonts w:hint="default"/>
          <w:sz w:val="24"/>
          <w:szCs w:val="24"/>
        </w:rPr>
        <w:t>On the safety side, while Dato</w:t>
      </w:r>
      <w:r>
        <w:rPr>
          <w:rFonts w:hint="default"/>
          <w:sz w:val="24"/>
          <w:szCs w:val="24"/>
        </w:rPr>
        <w:noBreakHyphen/>
      </w:r>
      <w:r>
        <w:rPr>
          <w:rFonts w:hint="default"/>
          <w:sz w:val="24"/>
          <w:szCs w:val="24"/>
        </w:rPr>
        <w:t>DXd avoids the severe hematologic toxicities commonly associated with chemotherapy, it introduces new adverse events, and patients reported slightly worse overall side</w:t>
      </w:r>
      <w:r>
        <w:rPr>
          <w:rFonts w:hint="default"/>
          <w:sz w:val="24"/>
          <w:szCs w:val="24"/>
        </w:rPr>
        <w:noBreakHyphen/>
      </w:r>
      <w:r>
        <w:rPr>
          <w:rFonts w:hint="default"/>
          <w:sz w:val="24"/>
          <w:szCs w:val="24"/>
        </w:rPr>
        <w:t>effect bother (PGI</w:t>
      </w:r>
      <w:r>
        <w:rPr>
          <w:rFonts w:hint="default"/>
          <w:sz w:val="24"/>
          <w:szCs w:val="24"/>
        </w:rPr>
        <w:noBreakHyphen/>
      </w:r>
      <w:r>
        <w:rPr>
          <w:rFonts w:hint="default"/>
          <w:sz w:val="24"/>
          <w:szCs w:val="24"/>
        </w:rPr>
        <w:t>TT) compared to chemotherapy. As a result, the drug cannot be shown to offer a substantial improvement over available therapies.</w:t>
      </w:r>
    </w:p>
    <w:p w14:paraId="3D12111A">
      <w:pPr>
        <w:spacing w:line="360" w:lineRule="auto"/>
        <w:rPr>
          <w:rFonts w:hint="default"/>
          <w:sz w:val="24"/>
          <w:szCs w:val="24"/>
        </w:rPr>
      </w:pPr>
    </w:p>
    <w:p w14:paraId="1E6DEF38">
      <w:pPr>
        <w:numPr>
          <w:ilvl w:val="0"/>
          <w:numId w:val="1"/>
        </w:numPr>
        <w:spacing w:line="360" w:lineRule="auto"/>
        <w:ind w:left="0" w:leftChars="0" w:firstLine="0" w:firstLineChars="0"/>
        <w:rPr>
          <w:rFonts w:hint="default"/>
          <w:b/>
          <w:bCs/>
          <w:sz w:val="24"/>
          <w:szCs w:val="24"/>
        </w:rPr>
      </w:pPr>
      <w:r>
        <w:rPr>
          <w:rFonts w:hint="default"/>
          <w:b/>
          <w:bCs/>
          <w:sz w:val="24"/>
          <w:szCs w:val="24"/>
        </w:rPr>
        <w:t>AA vs.</w:t>
      </w:r>
      <w:r>
        <w:rPr>
          <w:rFonts w:hint="eastAsia"/>
          <w:b/>
          <w:bCs/>
          <w:sz w:val="24"/>
          <w:szCs w:val="24"/>
          <w:lang w:val="en-US" w:eastAsia="zh-CN"/>
        </w:rPr>
        <w:t xml:space="preserve"> TA</w:t>
      </w:r>
      <w:r>
        <w:rPr>
          <w:rFonts w:hint="default"/>
          <w:b/>
          <w:bCs/>
          <w:sz w:val="24"/>
          <w:szCs w:val="24"/>
        </w:rPr>
        <w:br w:type="textWrapping"/>
      </w:r>
      <w:r>
        <w:rPr>
          <w:rFonts w:hint="default"/>
          <w:b/>
          <w:bCs/>
          <w:sz w:val="24"/>
          <w:szCs w:val="24"/>
        </w:rPr>
        <w:t>3.1.</w:t>
      </w:r>
      <w:r>
        <w:rPr>
          <w:rFonts w:hint="eastAsia"/>
          <w:b/>
          <w:bCs/>
          <w:sz w:val="24"/>
          <w:szCs w:val="24"/>
          <w:lang w:val="en-US" w:eastAsia="zh-CN"/>
        </w:rPr>
        <w:t xml:space="preserve"> </w:t>
      </w:r>
      <w:r>
        <w:rPr>
          <w:rFonts w:hint="default"/>
          <w:b/>
          <w:bCs/>
          <w:sz w:val="24"/>
          <w:szCs w:val="24"/>
        </w:rPr>
        <w:t>AA Preferred in Oncology</w:t>
      </w:r>
    </w:p>
    <w:p w14:paraId="507D453E">
      <w:pPr>
        <w:spacing w:line="360" w:lineRule="auto"/>
        <w:rPr>
          <w:rFonts w:hint="default"/>
          <w:sz w:val="24"/>
          <w:szCs w:val="24"/>
        </w:rPr>
      </w:pPr>
      <w:r>
        <w:rPr>
          <w:rFonts w:hint="default"/>
          <w:sz w:val="24"/>
          <w:szCs w:val="24"/>
        </w:rPr>
        <w:t>When an oncology drug targets a serious or life</w:t>
      </w:r>
      <w:r>
        <w:rPr>
          <w:rFonts w:hint="default"/>
          <w:sz w:val="24"/>
          <w:szCs w:val="24"/>
        </w:rPr>
        <w:noBreakHyphen/>
      </w:r>
      <w:r>
        <w:rPr>
          <w:rFonts w:hint="default"/>
          <w:sz w:val="24"/>
          <w:szCs w:val="24"/>
        </w:rPr>
        <w:t xml:space="preserve">threatening disease with an unmet medical need, and a surrogate endpoint (ORR, DoR, pCR) or intermediate clinical endpoint (PFS) can reasonably predict clinical benefit </w:t>
      </w:r>
      <w:r>
        <w:rPr>
          <w:rFonts w:hint="eastAsia"/>
          <w:sz w:val="24"/>
          <w:szCs w:val="24"/>
          <w:lang w:val="en-US" w:eastAsia="zh-CN"/>
        </w:rPr>
        <w:t>, and</w:t>
      </w:r>
      <w:r>
        <w:rPr>
          <w:rFonts w:hint="default"/>
          <w:sz w:val="24"/>
          <w:szCs w:val="24"/>
        </w:rPr>
        <w:t xml:space="preserve"> waiting for a final clinical endpoint (e.g., OS) would take too long or be unethical and the safety profile is acceptable, the FDA tends to prefer A</w:t>
      </w:r>
      <w:r>
        <w:rPr>
          <w:rFonts w:hint="eastAsia"/>
          <w:sz w:val="24"/>
          <w:szCs w:val="24"/>
          <w:lang w:val="en-US" w:eastAsia="zh-CN"/>
        </w:rPr>
        <w:t>A</w:t>
      </w:r>
      <w:r>
        <w:rPr>
          <w:rFonts w:hint="default"/>
          <w:sz w:val="24"/>
          <w:szCs w:val="24"/>
        </w:rPr>
        <w:t>.</w:t>
      </w:r>
    </w:p>
    <w:p w14:paraId="5066D744">
      <w:pPr>
        <w:spacing w:line="360" w:lineRule="auto"/>
        <w:rPr>
          <w:rFonts w:hint="default"/>
          <w:sz w:val="24"/>
          <w:szCs w:val="24"/>
        </w:rPr>
      </w:pPr>
    </w:p>
    <w:p w14:paraId="245FCCC3">
      <w:pPr>
        <w:spacing w:line="360" w:lineRule="auto"/>
        <w:rPr>
          <w:rFonts w:hint="default"/>
          <w:sz w:val="24"/>
          <w:szCs w:val="24"/>
        </w:rPr>
      </w:pPr>
      <w:r>
        <w:rPr>
          <w:rFonts w:hint="default"/>
          <w:sz w:val="24"/>
          <w:szCs w:val="24"/>
        </w:rPr>
        <w:t>In oncology, typical scenarios that fit this pathway include: a single</w:t>
      </w:r>
      <w:r>
        <w:rPr>
          <w:rFonts w:hint="default"/>
          <w:sz w:val="24"/>
          <w:szCs w:val="24"/>
        </w:rPr>
        <w:noBreakHyphen/>
      </w:r>
      <w:r>
        <w:rPr>
          <w:rFonts w:hint="default"/>
          <w:sz w:val="24"/>
          <w:szCs w:val="24"/>
        </w:rPr>
        <w:t>arm trial showing an ORR significantly higher than historical controls, with durable DoR, and limited treatment options available – provided the surrogate endpoint has scientific predictive value.</w:t>
      </w:r>
    </w:p>
    <w:p w14:paraId="215F2FB0">
      <w:pPr>
        <w:spacing w:line="360" w:lineRule="auto"/>
        <w:rPr>
          <w:rFonts w:hint="default"/>
          <w:sz w:val="24"/>
          <w:szCs w:val="24"/>
        </w:rPr>
      </w:pPr>
    </w:p>
    <w:p w14:paraId="0D065EDB">
      <w:pPr>
        <w:spacing w:line="360" w:lineRule="auto"/>
        <w:rPr>
          <w:rFonts w:hint="default"/>
          <w:sz w:val="24"/>
          <w:szCs w:val="24"/>
        </w:rPr>
      </w:pPr>
      <w:r>
        <w:rPr>
          <w:rFonts w:hint="default"/>
          <w:b/>
          <w:bCs/>
          <w:sz w:val="24"/>
          <w:szCs w:val="24"/>
        </w:rPr>
        <w:t>3.2. TA Instead of AA</w:t>
      </w:r>
    </w:p>
    <w:p w14:paraId="0E65FA0D">
      <w:pPr>
        <w:spacing w:line="360" w:lineRule="auto"/>
        <w:rPr>
          <w:rFonts w:hint="eastAsia"/>
          <w:sz w:val="24"/>
          <w:szCs w:val="24"/>
          <w:lang w:val="en-US" w:eastAsia="zh-CN"/>
        </w:rPr>
      </w:pPr>
      <w:r>
        <w:rPr>
          <w:rFonts w:hint="default"/>
          <w:sz w:val="24"/>
          <w:szCs w:val="24"/>
        </w:rPr>
        <w:t>Dato</w:t>
      </w:r>
      <w:r>
        <w:rPr>
          <w:rFonts w:hint="default"/>
          <w:sz w:val="24"/>
          <w:szCs w:val="24"/>
        </w:rPr>
        <w:noBreakHyphen/>
      </w:r>
      <w:r>
        <w:rPr>
          <w:rFonts w:hint="default"/>
          <w:sz w:val="24"/>
          <w:szCs w:val="24"/>
        </w:rPr>
        <w:t xml:space="preserve">DXd received </w:t>
      </w:r>
      <w:r>
        <w:rPr>
          <w:rFonts w:hint="eastAsia"/>
          <w:sz w:val="24"/>
          <w:szCs w:val="24"/>
          <w:lang w:val="en-US" w:eastAsia="zh-CN"/>
        </w:rPr>
        <w:t>TA</w:t>
      </w:r>
      <w:r>
        <w:rPr>
          <w:rFonts w:hint="default"/>
          <w:sz w:val="24"/>
          <w:szCs w:val="24"/>
        </w:rPr>
        <w:t xml:space="preserve"> rather than </w:t>
      </w:r>
      <w:r>
        <w:rPr>
          <w:rFonts w:hint="eastAsia"/>
          <w:sz w:val="24"/>
          <w:szCs w:val="24"/>
          <w:lang w:val="en-US" w:eastAsia="zh-CN"/>
        </w:rPr>
        <w:t>AA.</w:t>
      </w:r>
    </w:p>
    <w:p w14:paraId="3298677C">
      <w:pPr>
        <w:spacing w:line="360" w:lineRule="auto"/>
        <w:rPr>
          <w:rFonts w:hint="default"/>
          <w:sz w:val="24"/>
          <w:szCs w:val="24"/>
          <w:lang w:val="en-US" w:eastAsia="zh-CN"/>
        </w:rPr>
      </w:pPr>
    </w:p>
    <w:p w14:paraId="177E65A4">
      <w:pPr>
        <w:spacing w:line="360" w:lineRule="auto"/>
        <w:rPr>
          <w:rFonts w:hint="default"/>
          <w:sz w:val="24"/>
          <w:szCs w:val="24"/>
        </w:rPr>
      </w:pPr>
      <w:r>
        <w:rPr>
          <w:rFonts w:hint="default"/>
          <w:b/>
          <w:bCs/>
          <w:sz w:val="24"/>
          <w:szCs w:val="24"/>
        </w:rPr>
        <w:t>Trial design:</w:t>
      </w:r>
      <w:r>
        <w:rPr>
          <w:rFonts w:hint="default"/>
          <w:sz w:val="24"/>
          <w:szCs w:val="24"/>
        </w:rPr>
        <w:t xml:space="preserve"> TROPION</w:t>
      </w:r>
      <w:r>
        <w:rPr>
          <w:rFonts w:hint="default"/>
          <w:sz w:val="24"/>
          <w:szCs w:val="24"/>
        </w:rPr>
        <w:noBreakHyphen/>
      </w:r>
      <w:r>
        <w:rPr>
          <w:rFonts w:hint="default"/>
          <w:sz w:val="24"/>
          <w:szCs w:val="24"/>
        </w:rPr>
        <w:t>Breast01 was a randomized, open</w:t>
      </w:r>
      <w:r>
        <w:rPr>
          <w:rFonts w:hint="default"/>
          <w:sz w:val="24"/>
          <w:szCs w:val="24"/>
        </w:rPr>
        <w:noBreakHyphen/>
      </w:r>
      <w:r>
        <w:rPr>
          <w:rFonts w:hint="default"/>
          <w:sz w:val="24"/>
          <w:szCs w:val="24"/>
        </w:rPr>
        <w:t>label, head</w:t>
      </w:r>
      <w:r>
        <w:rPr>
          <w:rFonts w:hint="default"/>
          <w:sz w:val="24"/>
          <w:szCs w:val="24"/>
        </w:rPr>
        <w:noBreakHyphen/>
      </w:r>
      <w:r>
        <w:rPr>
          <w:rFonts w:hint="default"/>
          <w:sz w:val="24"/>
          <w:szCs w:val="24"/>
        </w:rPr>
        <w:t>to</w:t>
      </w:r>
      <w:r>
        <w:rPr>
          <w:rFonts w:hint="default"/>
          <w:sz w:val="24"/>
          <w:szCs w:val="24"/>
        </w:rPr>
        <w:noBreakHyphen/>
      </w:r>
      <w:r>
        <w:rPr>
          <w:rFonts w:hint="default"/>
          <w:sz w:val="24"/>
          <w:szCs w:val="24"/>
        </w:rPr>
        <w:t>head Phase III trial directly comparing the drug to chemotherapy. It had dual primary endpoints of PFS and OS, and it met the PFS endpoint with a statistically significant improvement. This trial design itself aligns with traditional approval standards.</w:t>
      </w:r>
    </w:p>
    <w:p w14:paraId="20B8ED4B">
      <w:pPr>
        <w:spacing w:line="360" w:lineRule="auto"/>
        <w:rPr>
          <w:rFonts w:hint="default"/>
          <w:sz w:val="24"/>
          <w:szCs w:val="24"/>
        </w:rPr>
      </w:pPr>
    </w:p>
    <w:p w14:paraId="550981F9">
      <w:pPr>
        <w:spacing w:line="360" w:lineRule="auto"/>
        <w:rPr>
          <w:rFonts w:hint="default"/>
          <w:sz w:val="24"/>
          <w:szCs w:val="24"/>
        </w:rPr>
      </w:pPr>
      <w:r>
        <w:rPr>
          <w:rFonts w:hint="default"/>
          <w:b/>
          <w:bCs/>
          <w:sz w:val="24"/>
          <w:szCs w:val="24"/>
        </w:rPr>
        <w:t>Endpoint</w:t>
      </w:r>
      <w:r>
        <w:rPr>
          <w:rFonts w:hint="eastAsia"/>
          <w:b/>
          <w:bCs/>
          <w:sz w:val="24"/>
          <w:szCs w:val="24"/>
          <w:lang w:val="en-US" w:eastAsia="zh-CN"/>
        </w:rPr>
        <w:t>s</w:t>
      </w:r>
      <w:r>
        <w:rPr>
          <w:rFonts w:hint="default"/>
          <w:b/>
          <w:bCs/>
          <w:sz w:val="24"/>
          <w:szCs w:val="24"/>
        </w:rPr>
        <w:t xml:space="preserve"> rationale</w:t>
      </w:r>
      <w:r>
        <w:rPr>
          <w:rFonts w:hint="default"/>
          <w:sz w:val="24"/>
          <w:szCs w:val="24"/>
        </w:rPr>
        <w:t>: The FDA concluded that although Dato</w:t>
      </w:r>
      <w:r>
        <w:rPr>
          <w:rFonts w:hint="default"/>
          <w:sz w:val="24"/>
          <w:szCs w:val="24"/>
        </w:rPr>
        <w:noBreakHyphen/>
      </w:r>
      <w:r>
        <w:rPr>
          <w:rFonts w:hint="default"/>
          <w:sz w:val="24"/>
          <w:szCs w:val="24"/>
        </w:rPr>
        <w:t>DXd showed no OS benefit, it also did not show a clear trend toward harm,</w:t>
      </w:r>
      <w:r>
        <w:rPr>
          <w:rFonts w:hint="eastAsia"/>
          <w:sz w:val="24"/>
          <w:szCs w:val="24"/>
          <w:lang w:val="en-US" w:eastAsia="zh-CN"/>
        </w:rPr>
        <w:t xml:space="preserve"> and </w:t>
      </w:r>
      <w:r>
        <w:rPr>
          <w:rFonts w:hint="default"/>
          <w:sz w:val="24"/>
          <w:szCs w:val="24"/>
        </w:rPr>
        <w:t xml:space="preserve">PFS endpoint with a statistically significant improvement. </w:t>
      </w:r>
      <w:r>
        <w:rPr>
          <w:rFonts w:hint="eastAsia"/>
          <w:sz w:val="24"/>
          <w:szCs w:val="24"/>
          <w:lang w:val="en-US" w:eastAsia="zh-CN"/>
        </w:rPr>
        <w:t>S</w:t>
      </w:r>
      <w:r>
        <w:rPr>
          <w:rFonts w:hint="default"/>
          <w:sz w:val="24"/>
          <w:szCs w:val="24"/>
        </w:rPr>
        <w:t>o PFS as a clinical endpoint supported traditional approval.</w:t>
      </w:r>
    </w:p>
    <w:p w14:paraId="2299877F">
      <w:pPr>
        <w:spacing w:line="360" w:lineRule="auto"/>
        <w:rPr>
          <w:rFonts w:hint="default"/>
          <w:sz w:val="24"/>
          <w:szCs w:val="24"/>
        </w:rPr>
      </w:pPr>
    </w:p>
    <w:p w14:paraId="7313C66F">
      <w:pPr>
        <w:spacing w:line="360" w:lineRule="auto"/>
        <w:rPr>
          <w:rFonts w:hint="default"/>
          <w:sz w:val="24"/>
          <w:szCs w:val="24"/>
        </w:rPr>
      </w:pPr>
      <w:r>
        <w:rPr>
          <w:rFonts w:hint="default"/>
          <w:b/>
          <w:bCs/>
          <w:sz w:val="24"/>
          <w:szCs w:val="24"/>
        </w:rPr>
        <w:t xml:space="preserve">Pathway fit: </w:t>
      </w:r>
      <w:r>
        <w:rPr>
          <w:rFonts w:hint="default"/>
          <w:sz w:val="24"/>
          <w:szCs w:val="24"/>
        </w:rPr>
        <w:t>The improvements in ORR and DoR for Dato</w:t>
      </w:r>
      <w:r>
        <w:rPr>
          <w:rFonts w:hint="default"/>
          <w:sz w:val="24"/>
          <w:szCs w:val="24"/>
        </w:rPr>
        <w:noBreakHyphen/>
      </w:r>
      <w:r>
        <w:rPr>
          <w:rFonts w:hint="default"/>
          <w:sz w:val="24"/>
          <w:szCs w:val="24"/>
        </w:rPr>
        <w:t>DXd were modest, and the sponsor had already completed a Phase III trial, so there was no need to rely on an early</w:t>
      </w:r>
      <w:r>
        <w:rPr>
          <w:rFonts w:hint="default"/>
          <w:sz w:val="24"/>
          <w:szCs w:val="24"/>
        </w:rPr>
        <w:noBreakHyphen/>
      </w:r>
      <w:r>
        <w:rPr>
          <w:rFonts w:hint="default"/>
          <w:sz w:val="24"/>
          <w:szCs w:val="24"/>
        </w:rPr>
        <w:t>data accelerated pathway.</w:t>
      </w:r>
    </w:p>
    <w:p w14:paraId="28E448BA">
      <w:pPr>
        <w:spacing w:line="360" w:lineRule="auto"/>
        <w:rPr>
          <w:rFonts w:hint="default"/>
          <w:sz w:val="24"/>
          <w:szCs w:val="24"/>
        </w:rPr>
      </w:pPr>
    </w:p>
    <w:p w14:paraId="1BDB8565">
      <w:pPr>
        <w:spacing w:line="360" w:lineRule="auto"/>
        <w:rPr>
          <w:rFonts w:hint="default"/>
          <w:sz w:val="24"/>
          <w:szCs w:val="24"/>
        </w:rPr>
      </w:pPr>
      <w:r>
        <w:rPr>
          <w:rFonts w:hint="default"/>
          <w:b/>
          <w:bCs/>
          <w:sz w:val="24"/>
          <w:szCs w:val="24"/>
        </w:rPr>
        <w:t>Safety profile:</w:t>
      </w:r>
      <w:r>
        <w:rPr>
          <w:rFonts w:hint="default"/>
          <w:sz w:val="24"/>
          <w:szCs w:val="24"/>
        </w:rPr>
        <w:t xml:space="preserve"> While the drug avoids the hematologic toxicities of chemotherapy, it introduces new adverse events, and patients reported slightly worse side</w:t>
      </w:r>
      <w:r>
        <w:rPr>
          <w:rFonts w:hint="default"/>
          <w:sz w:val="24"/>
          <w:szCs w:val="24"/>
        </w:rPr>
        <w:noBreakHyphen/>
      </w:r>
      <w:r>
        <w:rPr>
          <w:rFonts w:hint="default"/>
          <w:sz w:val="24"/>
          <w:szCs w:val="24"/>
        </w:rPr>
        <w:t>effect bother compared to chemotherapy. The benefit</w:t>
      </w:r>
      <w:r>
        <w:rPr>
          <w:rFonts w:hint="default"/>
          <w:sz w:val="24"/>
          <w:szCs w:val="24"/>
        </w:rPr>
        <w:noBreakHyphen/>
      </w:r>
      <w:r>
        <w:rPr>
          <w:rFonts w:hint="default"/>
          <w:sz w:val="24"/>
          <w:szCs w:val="24"/>
        </w:rPr>
        <w:t>risk balance would struggle to meet the bar that AA sets for surrogate</w:t>
      </w:r>
      <w:r>
        <w:rPr>
          <w:rFonts w:hint="default"/>
          <w:sz w:val="24"/>
          <w:szCs w:val="24"/>
        </w:rPr>
        <w:noBreakHyphen/>
      </w:r>
      <w:r>
        <w:rPr>
          <w:rFonts w:hint="default"/>
          <w:sz w:val="24"/>
          <w:szCs w:val="24"/>
        </w:rPr>
        <w:t>endpoint benefit.</w:t>
      </w:r>
    </w:p>
    <w:p w14:paraId="61E071CB">
      <w:pPr>
        <w:spacing w:line="360" w:lineRule="auto"/>
        <w:rPr>
          <w:rFonts w:hint="default"/>
          <w:sz w:val="24"/>
          <w:szCs w:val="24"/>
        </w:rPr>
      </w:pPr>
    </w:p>
    <w:p w14:paraId="0D2C92FA">
      <w:pPr>
        <w:spacing w:line="360" w:lineRule="auto"/>
        <w:rPr>
          <w:rFonts w:hint="default"/>
          <w:b/>
          <w:bCs/>
          <w:sz w:val="24"/>
          <w:szCs w:val="24"/>
        </w:rPr>
      </w:pPr>
      <w:r>
        <w:rPr>
          <w:rFonts w:hint="default"/>
          <w:b/>
          <w:bCs/>
          <w:sz w:val="24"/>
          <w:szCs w:val="24"/>
        </w:rPr>
        <w:t>3.3.</w:t>
      </w:r>
      <w:r>
        <w:rPr>
          <w:rFonts w:hint="eastAsia"/>
          <w:b/>
          <w:bCs/>
          <w:sz w:val="24"/>
          <w:szCs w:val="24"/>
          <w:lang w:val="en-US" w:eastAsia="zh-CN"/>
        </w:rPr>
        <w:t xml:space="preserve"> </w:t>
      </w:r>
      <w:r>
        <w:rPr>
          <w:rFonts w:hint="default"/>
          <w:b/>
          <w:bCs/>
          <w:sz w:val="24"/>
          <w:szCs w:val="24"/>
        </w:rPr>
        <w:t>If the Trial Were Single</w:t>
      </w:r>
      <w:r>
        <w:rPr>
          <w:rFonts w:hint="default"/>
          <w:b/>
          <w:bCs/>
          <w:sz w:val="24"/>
          <w:szCs w:val="24"/>
        </w:rPr>
        <w:noBreakHyphen/>
      </w:r>
      <w:r>
        <w:rPr>
          <w:rFonts w:hint="default"/>
          <w:b/>
          <w:bCs/>
          <w:sz w:val="24"/>
          <w:szCs w:val="24"/>
        </w:rPr>
        <w:t>Arm with an ORR of ~36%, Would AA Be Appropriate?</w:t>
      </w:r>
    </w:p>
    <w:p w14:paraId="72A48B15">
      <w:pPr>
        <w:spacing w:line="360" w:lineRule="auto"/>
        <w:rPr>
          <w:rFonts w:hint="default"/>
          <w:sz w:val="24"/>
          <w:szCs w:val="24"/>
        </w:rPr>
      </w:pPr>
      <w:r>
        <w:rPr>
          <w:rFonts w:hint="default"/>
          <w:sz w:val="24"/>
          <w:szCs w:val="24"/>
        </w:rPr>
        <w:t>Whether the FDA would approve depends on the DoR and the safety profile.</w:t>
      </w:r>
    </w:p>
    <w:p w14:paraId="7512918E">
      <w:pPr>
        <w:spacing w:line="360" w:lineRule="auto"/>
        <w:rPr>
          <w:rFonts w:hint="default"/>
          <w:sz w:val="24"/>
          <w:szCs w:val="24"/>
        </w:rPr>
      </w:pPr>
    </w:p>
    <w:p w14:paraId="747CFBD0">
      <w:pPr>
        <w:spacing w:line="360" w:lineRule="auto"/>
        <w:rPr>
          <w:rFonts w:hint="default"/>
          <w:sz w:val="24"/>
          <w:szCs w:val="24"/>
        </w:rPr>
      </w:pPr>
      <w:r>
        <w:rPr>
          <w:rFonts w:hint="default"/>
          <w:sz w:val="24"/>
          <w:szCs w:val="24"/>
        </w:rPr>
        <w:t>The AA pathway permits approval based on a surrogate endpoint like ORR from a single</w:t>
      </w:r>
      <w:r>
        <w:rPr>
          <w:rFonts w:hint="default"/>
          <w:sz w:val="24"/>
          <w:szCs w:val="24"/>
        </w:rPr>
        <w:noBreakHyphen/>
      </w:r>
      <w:r>
        <w:rPr>
          <w:rFonts w:hint="default"/>
          <w:sz w:val="24"/>
          <w:szCs w:val="24"/>
        </w:rPr>
        <w:t>arm trial, provided the ORR is significantly higher than historical controls and the DoR can reasonably predict clinical benefit. Under this hypothetical scenario, Dato</w:t>
      </w:r>
      <w:r>
        <w:rPr>
          <w:rFonts w:hint="default"/>
          <w:sz w:val="24"/>
          <w:szCs w:val="24"/>
        </w:rPr>
        <w:noBreakHyphen/>
      </w:r>
      <w:r>
        <w:rPr>
          <w:rFonts w:hint="default"/>
          <w:sz w:val="24"/>
          <w:szCs w:val="24"/>
        </w:rPr>
        <w:t>DXd's ORR (36%) is indeed higher than the chemotherapy arm (20–25%), and there is a clear unmet medical need for this disease. So a single</w:t>
      </w:r>
      <w:r>
        <w:rPr>
          <w:rFonts w:hint="default"/>
          <w:sz w:val="24"/>
          <w:szCs w:val="24"/>
        </w:rPr>
        <w:noBreakHyphen/>
      </w:r>
      <w:r>
        <w:rPr>
          <w:rFonts w:hint="default"/>
          <w:sz w:val="24"/>
          <w:szCs w:val="24"/>
        </w:rPr>
        <w:t>arm trial would meet the basic requirements for seeking AA.</w:t>
      </w:r>
    </w:p>
    <w:p w14:paraId="5DBC5058">
      <w:pPr>
        <w:spacing w:line="360" w:lineRule="auto"/>
        <w:rPr>
          <w:rFonts w:hint="default"/>
          <w:sz w:val="24"/>
          <w:szCs w:val="24"/>
        </w:rPr>
      </w:pPr>
    </w:p>
    <w:p w14:paraId="41A88593">
      <w:pPr>
        <w:spacing w:line="360" w:lineRule="auto"/>
        <w:rPr>
          <w:rFonts w:hint="default"/>
          <w:sz w:val="24"/>
          <w:szCs w:val="24"/>
        </w:rPr>
      </w:pPr>
      <w:r>
        <w:rPr>
          <w:rFonts w:hint="default"/>
          <w:sz w:val="24"/>
          <w:szCs w:val="24"/>
        </w:rPr>
        <w:t>However, when reviewing an AA application, the FDA places even greater emphasis on DoR durability and whether the safety profile is acceptable. If a single</w:t>
      </w:r>
      <w:r>
        <w:rPr>
          <w:rFonts w:hint="default"/>
          <w:sz w:val="24"/>
          <w:szCs w:val="24"/>
        </w:rPr>
        <w:noBreakHyphen/>
      </w:r>
      <w:r>
        <w:rPr>
          <w:rFonts w:hint="default"/>
          <w:sz w:val="24"/>
          <w:szCs w:val="24"/>
        </w:rPr>
        <w:t>arm trial also shows no meaningful improvement in DoR, it becomes difficult to predict subsequent clinical benefit. Moreover, Dato</w:t>
      </w:r>
      <w:r>
        <w:rPr>
          <w:rFonts w:hint="default"/>
          <w:sz w:val="24"/>
          <w:szCs w:val="24"/>
        </w:rPr>
        <w:noBreakHyphen/>
      </w:r>
      <w:r>
        <w:rPr>
          <w:rFonts w:hint="default"/>
          <w:sz w:val="24"/>
          <w:szCs w:val="24"/>
        </w:rPr>
        <w:t>DXd's safety profile is not superior to chemotherapy.</w:t>
      </w:r>
    </w:p>
    <w:p w14:paraId="33B74BD7">
      <w:pPr>
        <w:spacing w:line="360" w:lineRule="auto"/>
        <w:rPr>
          <w:rFonts w:hint="default"/>
          <w:sz w:val="24"/>
          <w:szCs w:val="24"/>
        </w:rPr>
      </w:pPr>
    </w:p>
    <w:p w14:paraId="5AD39D1F">
      <w:pPr>
        <w:spacing w:line="360" w:lineRule="auto"/>
        <w:rPr>
          <w:rFonts w:hint="default"/>
          <w:sz w:val="24"/>
          <w:szCs w:val="24"/>
        </w:rPr>
      </w:pPr>
      <w:r>
        <w:rPr>
          <w:rFonts w:hint="default"/>
          <w:sz w:val="24"/>
          <w:szCs w:val="24"/>
        </w:rPr>
        <w:t>In summary, unless the DoR is very durable and the safety profile can be effectively managed, the FDA would likely refuse approval.</w:t>
      </w:r>
    </w:p>
    <w:p w14:paraId="667B5D46">
      <w:pPr>
        <w:spacing w:line="360" w:lineRule="auto"/>
        <w:rPr>
          <w:rFonts w:hint="default"/>
          <w:sz w:val="24"/>
          <w:szCs w:val="24"/>
        </w:rPr>
      </w:pPr>
    </w:p>
    <w:p w14:paraId="11F56582">
      <w:pPr>
        <w:numPr>
          <w:ilvl w:val="0"/>
          <w:numId w:val="1"/>
        </w:numPr>
        <w:spacing w:line="360" w:lineRule="auto"/>
        <w:ind w:left="0" w:leftChars="0" w:firstLine="0" w:firstLineChars="0"/>
        <w:rPr>
          <w:rFonts w:hint="default" w:eastAsia="宋体"/>
          <w:b/>
          <w:bCs/>
          <w:sz w:val="24"/>
          <w:szCs w:val="24"/>
          <w:lang w:val="en-US" w:eastAsia="zh-CN"/>
        </w:rPr>
      </w:pPr>
      <w:r>
        <w:rPr>
          <w:rFonts w:hint="default" w:eastAsia="宋体"/>
          <w:b/>
          <w:bCs/>
          <w:sz w:val="24"/>
          <w:szCs w:val="24"/>
          <w:lang w:val="en-US" w:eastAsia="zh-CN"/>
        </w:rPr>
        <w:t>Benefit–Risk &amp; Regulatory Decision-Making</w:t>
      </w:r>
    </w:p>
    <w:p w14:paraId="4E33C9AA">
      <w:pPr>
        <w:numPr>
          <w:ilvl w:val="1"/>
          <w:numId w:val="1"/>
        </w:numPr>
        <w:spacing w:line="360" w:lineRule="auto"/>
        <w:ind w:left="0" w:leftChars="0" w:firstLine="0" w:firstLineChars="0"/>
        <w:rPr>
          <w:rFonts w:hint="default"/>
          <w:sz w:val="24"/>
          <w:szCs w:val="24"/>
        </w:rPr>
      </w:pPr>
      <w:r>
        <w:rPr>
          <w:rFonts w:hint="default"/>
          <w:b/>
          <w:bCs/>
          <w:sz w:val="24"/>
          <w:szCs w:val="24"/>
        </w:rPr>
        <w:t>Risks of A</w:t>
      </w:r>
      <w:r>
        <w:rPr>
          <w:rFonts w:hint="eastAsia"/>
          <w:b/>
          <w:bCs/>
          <w:sz w:val="24"/>
          <w:szCs w:val="24"/>
          <w:lang w:val="en-US" w:eastAsia="zh-CN"/>
        </w:rPr>
        <w:t>A</w:t>
      </w:r>
    </w:p>
    <w:p w14:paraId="514AC547">
      <w:pPr>
        <w:spacing w:line="360" w:lineRule="auto"/>
        <w:rPr>
          <w:rFonts w:hint="default"/>
          <w:sz w:val="24"/>
          <w:szCs w:val="24"/>
        </w:rPr>
      </w:pPr>
      <w:r>
        <w:rPr>
          <w:rFonts w:hint="default"/>
          <w:b/>
          <w:bCs/>
          <w:sz w:val="24"/>
          <w:szCs w:val="24"/>
        </w:rPr>
        <w:t>Withdrawal risk:</w:t>
      </w:r>
      <w:r>
        <w:rPr>
          <w:rFonts w:hint="default"/>
          <w:sz w:val="24"/>
          <w:szCs w:val="24"/>
        </w:rPr>
        <w:t xml:space="preserve"> If confirmatory trials fail to verify clinical benefit, the FDA may withdraw the approval.</w:t>
      </w:r>
    </w:p>
    <w:p w14:paraId="259CAA8B">
      <w:pPr>
        <w:spacing w:line="360" w:lineRule="auto"/>
        <w:rPr>
          <w:rFonts w:hint="default"/>
          <w:sz w:val="24"/>
          <w:szCs w:val="24"/>
        </w:rPr>
      </w:pPr>
    </w:p>
    <w:p w14:paraId="2972542C">
      <w:pPr>
        <w:spacing w:line="360" w:lineRule="auto"/>
        <w:rPr>
          <w:rFonts w:hint="default"/>
          <w:sz w:val="24"/>
          <w:szCs w:val="24"/>
        </w:rPr>
      </w:pPr>
      <w:r>
        <w:rPr>
          <w:rFonts w:hint="default"/>
          <w:b/>
          <w:bCs/>
          <w:sz w:val="24"/>
          <w:szCs w:val="24"/>
        </w:rPr>
        <w:t>Confirmatory trial failure or delay:</w:t>
      </w:r>
      <w:r>
        <w:rPr>
          <w:rFonts w:hint="default"/>
          <w:sz w:val="24"/>
          <w:szCs w:val="24"/>
        </w:rPr>
        <w:t xml:space="preserve"> Sponsors may be unable to complete confirmatory trials on time </w:t>
      </w:r>
      <w:r>
        <w:rPr>
          <w:rFonts w:hint="eastAsia"/>
          <w:sz w:val="24"/>
          <w:szCs w:val="24"/>
          <w:lang w:val="en-US" w:eastAsia="zh-CN"/>
        </w:rPr>
        <w:t>,</w:t>
      </w:r>
      <w:r>
        <w:rPr>
          <w:rFonts w:hint="default"/>
          <w:sz w:val="24"/>
          <w:szCs w:val="24"/>
        </w:rPr>
        <w:t>for example, due to patient enrollment difficulties or poor trial design. Even if completed, if the trial fails to meet its primary endpoint, the post</w:t>
      </w:r>
      <w:r>
        <w:rPr>
          <w:rFonts w:hint="default"/>
          <w:sz w:val="24"/>
          <w:szCs w:val="24"/>
        </w:rPr>
        <w:noBreakHyphen/>
      </w:r>
      <w:r>
        <w:rPr>
          <w:rFonts w:hint="default"/>
          <w:sz w:val="24"/>
          <w:szCs w:val="24"/>
        </w:rPr>
        <w:t>marketing requirement is not satisfied.</w:t>
      </w:r>
    </w:p>
    <w:p w14:paraId="5318F529">
      <w:pPr>
        <w:spacing w:line="360" w:lineRule="auto"/>
        <w:rPr>
          <w:rFonts w:hint="default"/>
          <w:sz w:val="24"/>
          <w:szCs w:val="24"/>
        </w:rPr>
      </w:pPr>
    </w:p>
    <w:p w14:paraId="45B819A6">
      <w:pPr>
        <w:spacing w:line="360" w:lineRule="auto"/>
        <w:rPr>
          <w:rFonts w:hint="default"/>
          <w:sz w:val="24"/>
          <w:szCs w:val="24"/>
        </w:rPr>
      </w:pPr>
      <w:r>
        <w:rPr>
          <w:rFonts w:hint="default"/>
          <w:b/>
          <w:bCs/>
          <w:sz w:val="24"/>
          <w:szCs w:val="24"/>
        </w:rPr>
        <w:t>Regulatory uncertainty:</w:t>
      </w:r>
      <w:r>
        <w:rPr>
          <w:rFonts w:hint="default"/>
          <w:sz w:val="24"/>
          <w:szCs w:val="24"/>
        </w:rPr>
        <w:t xml:space="preserve"> The link between a surrogate endpoint and clinical benefit is not set in stone; a surrogate once considered reasonable may later be questioned by new data. This uncertainty creates challenges for both sponsors and regulators.</w:t>
      </w:r>
    </w:p>
    <w:p w14:paraId="752CE48A">
      <w:pPr>
        <w:spacing w:line="360" w:lineRule="auto"/>
        <w:rPr>
          <w:rFonts w:hint="default"/>
          <w:sz w:val="24"/>
          <w:szCs w:val="24"/>
        </w:rPr>
      </w:pPr>
    </w:p>
    <w:p w14:paraId="3EBB2312">
      <w:pPr>
        <w:spacing w:line="360" w:lineRule="auto"/>
        <w:rPr>
          <w:rFonts w:hint="default"/>
          <w:b/>
          <w:bCs/>
          <w:sz w:val="24"/>
          <w:szCs w:val="24"/>
        </w:rPr>
      </w:pPr>
      <w:r>
        <w:rPr>
          <w:rFonts w:hint="default"/>
          <w:b/>
          <w:bCs/>
          <w:sz w:val="24"/>
          <w:szCs w:val="24"/>
        </w:rPr>
        <w:t xml:space="preserve">4.2. </w:t>
      </w:r>
      <w:r>
        <w:rPr>
          <w:rFonts w:hint="eastAsia"/>
          <w:b/>
          <w:bCs/>
          <w:sz w:val="24"/>
          <w:szCs w:val="24"/>
          <w:lang w:val="en-US" w:eastAsia="zh-CN"/>
        </w:rPr>
        <w:t>T</w:t>
      </w:r>
      <w:r>
        <w:rPr>
          <w:rFonts w:hint="default"/>
          <w:b/>
          <w:bCs/>
          <w:sz w:val="24"/>
          <w:szCs w:val="24"/>
        </w:rPr>
        <w:t xml:space="preserve">he </w:t>
      </w:r>
      <w:r>
        <w:rPr>
          <w:rFonts w:hint="eastAsia"/>
          <w:b/>
          <w:bCs/>
          <w:sz w:val="24"/>
          <w:szCs w:val="24"/>
          <w:lang w:val="en-US" w:eastAsia="zh-CN"/>
        </w:rPr>
        <w:t xml:space="preserve">Reason </w:t>
      </w:r>
      <w:r>
        <w:rPr>
          <w:rFonts w:hint="default"/>
          <w:b/>
          <w:bCs/>
          <w:sz w:val="24"/>
          <w:szCs w:val="24"/>
        </w:rPr>
        <w:t>FDA Accept the Head</w:t>
      </w:r>
      <w:r>
        <w:rPr>
          <w:rFonts w:hint="default"/>
          <w:b/>
          <w:bCs/>
          <w:sz w:val="24"/>
          <w:szCs w:val="24"/>
        </w:rPr>
        <w:noBreakHyphen/>
      </w:r>
      <w:r>
        <w:rPr>
          <w:rFonts w:hint="default"/>
          <w:b/>
          <w:bCs/>
          <w:sz w:val="24"/>
          <w:szCs w:val="24"/>
        </w:rPr>
        <w:t>to</w:t>
      </w:r>
      <w:r>
        <w:rPr>
          <w:rFonts w:hint="default"/>
          <w:b/>
          <w:bCs/>
          <w:sz w:val="24"/>
          <w:szCs w:val="24"/>
        </w:rPr>
        <w:noBreakHyphen/>
      </w:r>
      <w:r>
        <w:rPr>
          <w:rFonts w:hint="default"/>
          <w:b/>
          <w:bCs/>
          <w:sz w:val="24"/>
          <w:szCs w:val="24"/>
        </w:rPr>
        <w:t>Head Trial Results for Dato</w:t>
      </w:r>
      <w:r>
        <w:rPr>
          <w:rFonts w:hint="default"/>
          <w:b/>
          <w:bCs/>
          <w:sz w:val="24"/>
          <w:szCs w:val="24"/>
        </w:rPr>
        <w:noBreakHyphen/>
      </w:r>
      <w:r>
        <w:rPr>
          <w:rFonts w:hint="default"/>
          <w:b/>
          <w:bCs/>
          <w:sz w:val="24"/>
          <w:szCs w:val="24"/>
        </w:rPr>
        <w:t>DXd</w:t>
      </w:r>
    </w:p>
    <w:p w14:paraId="19F7FC73">
      <w:pPr>
        <w:spacing w:line="360" w:lineRule="auto"/>
        <w:rPr>
          <w:rFonts w:hint="default"/>
          <w:sz w:val="24"/>
          <w:szCs w:val="24"/>
        </w:rPr>
      </w:pPr>
      <w:r>
        <w:rPr>
          <w:rFonts w:hint="default"/>
          <w:sz w:val="24"/>
          <w:szCs w:val="24"/>
        </w:rPr>
        <w:t>A key basis for the FDA's approval of Dato</w:t>
      </w:r>
      <w:r>
        <w:rPr>
          <w:rFonts w:hint="default"/>
          <w:sz w:val="24"/>
          <w:szCs w:val="24"/>
        </w:rPr>
        <w:noBreakHyphen/>
      </w:r>
      <w:r>
        <w:rPr>
          <w:rFonts w:hint="default"/>
          <w:sz w:val="24"/>
          <w:szCs w:val="24"/>
        </w:rPr>
        <w:t>DXd was that the TROPION</w:t>
      </w:r>
      <w:r>
        <w:rPr>
          <w:rFonts w:hint="default"/>
          <w:sz w:val="24"/>
          <w:szCs w:val="24"/>
        </w:rPr>
        <w:noBreakHyphen/>
      </w:r>
      <w:r>
        <w:rPr>
          <w:rFonts w:hint="default"/>
          <w:sz w:val="24"/>
          <w:szCs w:val="24"/>
        </w:rPr>
        <w:t>Breast01 trial directly compared Dato</w:t>
      </w:r>
      <w:r>
        <w:rPr>
          <w:rFonts w:hint="default"/>
          <w:sz w:val="24"/>
          <w:szCs w:val="24"/>
        </w:rPr>
        <w:noBreakHyphen/>
      </w:r>
      <w:r>
        <w:rPr>
          <w:rFonts w:hint="default"/>
          <w:sz w:val="24"/>
          <w:szCs w:val="24"/>
        </w:rPr>
        <w:t>DXd to active chemotherapy, not to a placebo.</w:t>
      </w:r>
    </w:p>
    <w:p w14:paraId="39C60EF5">
      <w:pPr>
        <w:spacing w:line="360" w:lineRule="auto"/>
        <w:rPr>
          <w:rFonts w:hint="default"/>
          <w:sz w:val="24"/>
          <w:szCs w:val="24"/>
        </w:rPr>
      </w:pPr>
    </w:p>
    <w:p w14:paraId="51733DED">
      <w:pPr>
        <w:spacing w:line="360" w:lineRule="auto"/>
        <w:rPr>
          <w:rFonts w:hint="default"/>
          <w:sz w:val="24"/>
          <w:szCs w:val="24"/>
        </w:rPr>
      </w:pPr>
      <w:r>
        <w:rPr>
          <w:rFonts w:hint="default"/>
          <w:sz w:val="24"/>
          <w:szCs w:val="24"/>
        </w:rPr>
        <w:t>The median PFS in the Dato</w:t>
      </w:r>
      <w:r>
        <w:rPr>
          <w:rFonts w:hint="default"/>
          <w:sz w:val="24"/>
          <w:szCs w:val="24"/>
        </w:rPr>
        <w:noBreakHyphen/>
      </w:r>
      <w:r>
        <w:rPr>
          <w:rFonts w:hint="default"/>
          <w:sz w:val="24"/>
          <w:szCs w:val="24"/>
        </w:rPr>
        <w:t>DXd arm was 6.9 months, meaning that patients gained about 2 months of additional progression</w:t>
      </w:r>
      <w:r>
        <w:rPr>
          <w:rFonts w:hint="default"/>
          <w:sz w:val="24"/>
          <w:szCs w:val="24"/>
        </w:rPr>
        <w:noBreakHyphen/>
      </w:r>
      <w:r>
        <w:rPr>
          <w:rFonts w:hint="default"/>
          <w:sz w:val="24"/>
          <w:szCs w:val="24"/>
        </w:rPr>
        <w:t>free survival on top of the benefit from standard treatment.</w:t>
      </w:r>
    </w:p>
    <w:p w14:paraId="103FC1F1">
      <w:pPr>
        <w:spacing w:line="360" w:lineRule="auto"/>
        <w:rPr>
          <w:rFonts w:hint="default"/>
          <w:sz w:val="24"/>
          <w:szCs w:val="24"/>
        </w:rPr>
      </w:pPr>
    </w:p>
    <w:p w14:paraId="2C7B8844">
      <w:pPr>
        <w:spacing w:line="360" w:lineRule="auto"/>
        <w:rPr>
          <w:rFonts w:hint="default"/>
          <w:sz w:val="24"/>
          <w:szCs w:val="24"/>
        </w:rPr>
      </w:pPr>
      <w:r>
        <w:rPr>
          <w:rFonts w:hint="default"/>
          <w:sz w:val="24"/>
          <w:szCs w:val="24"/>
        </w:rPr>
        <w:t>Second, the PFS results from TROPION</w:t>
      </w:r>
      <w:r>
        <w:rPr>
          <w:rFonts w:hint="default"/>
          <w:sz w:val="24"/>
          <w:szCs w:val="24"/>
        </w:rPr>
        <w:noBreakHyphen/>
      </w:r>
      <w:r>
        <w:rPr>
          <w:rFonts w:hint="default"/>
          <w:sz w:val="24"/>
          <w:szCs w:val="24"/>
        </w:rPr>
        <w:t>Breast01 were consistent across sensitivity analyses, investigator assessments, and various subgroups. The HR of 0.63 had a confidence interval entirely below 1.0, showing very high statistical significance – meaning the PFS benefit had to be robust. Moreover, the secondary endpoints (ORR and DoR) consistently supported the antitumor activity of Dato</w:t>
      </w:r>
      <w:r>
        <w:rPr>
          <w:rFonts w:hint="default"/>
          <w:sz w:val="24"/>
          <w:szCs w:val="24"/>
        </w:rPr>
        <w:noBreakHyphen/>
      </w:r>
      <w:r>
        <w:rPr>
          <w:rFonts w:hint="default"/>
          <w:sz w:val="24"/>
          <w:szCs w:val="24"/>
        </w:rPr>
        <w:t>DXd, further reinforcing the credibility of the PFS benefit.</w:t>
      </w:r>
    </w:p>
    <w:p w14:paraId="162092C6">
      <w:pPr>
        <w:spacing w:line="360" w:lineRule="auto"/>
        <w:rPr>
          <w:rFonts w:hint="default"/>
          <w:sz w:val="24"/>
          <w:szCs w:val="24"/>
        </w:rPr>
      </w:pPr>
    </w:p>
    <w:p w14:paraId="382DB755">
      <w:pPr>
        <w:spacing w:line="360" w:lineRule="auto"/>
        <w:rPr>
          <w:rFonts w:hint="default"/>
          <w:sz w:val="24"/>
          <w:szCs w:val="24"/>
        </w:rPr>
      </w:pPr>
      <w:r>
        <w:rPr>
          <w:rFonts w:hint="default"/>
          <w:sz w:val="24"/>
          <w:szCs w:val="24"/>
        </w:rPr>
        <w:t>Regarding OS, the FDA does not require a new drug to extend overall survival, especially in a head</w:t>
      </w:r>
      <w:r>
        <w:rPr>
          <w:rFonts w:hint="default"/>
          <w:sz w:val="24"/>
          <w:szCs w:val="24"/>
        </w:rPr>
        <w:noBreakHyphen/>
      </w:r>
      <w:r>
        <w:rPr>
          <w:rFonts w:hint="default"/>
          <w:sz w:val="24"/>
          <w:szCs w:val="24"/>
        </w:rPr>
        <w:t>to</w:t>
      </w:r>
      <w:r>
        <w:rPr>
          <w:rFonts w:hint="default"/>
          <w:sz w:val="24"/>
          <w:szCs w:val="24"/>
        </w:rPr>
        <w:noBreakHyphen/>
      </w:r>
      <w:r>
        <w:rPr>
          <w:rFonts w:hint="default"/>
          <w:sz w:val="24"/>
          <w:szCs w:val="24"/>
        </w:rPr>
        <w:t>head trial. In this trial, the OS hazard ratio was 1.01</w:t>
      </w:r>
      <w:r>
        <w:rPr>
          <w:rFonts w:hint="eastAsia"/>
          <w:sz w:val="24"/>
          <w:szCs w:val="24"/>
          <w:lang w:val="en-US" w:eastAsia="zh-CN"/>
        </w:rPr>
        <w:t xml:space="preserve">, </w:t>
      </w:r>
      <w:r>
        <w:rPr>
          <w:rFonts w:hint="default"/>
          <w:sz w:val="24"/>
          <w:szCs w:val="24"/>
        </w:rPr>
        <w:t>no benefit, but also no clear trend toward harm. The FDA considered that, given a robust PFS benefit, a neutral OS result did not pose an obstacle to approval.</w:t>
      </w:r>
    </w:p>
    <w:p w14:paraId="5C21330D">
      <w:pPr>
        <w:spacing w:line="360" w:lineRule="auto"/>
        <w:rPr>
          <w:rFonts w:hint="default"/>
          <w:sz w:val="24"/>
          <w:szCs w:val="24"/>
        </w:rPr>
      </w:pPr>
    </w:p>
    <w:p w14:paraId="01604607">
      <w:pPr>
        <w:spacing w:line="360" w:lineRule="auto"/>
        <w:rPr>
          <w:rFonts w:hint="default"/>
          <w:sz w:val="24"/>
          <w:szCs w:val="24"/>
        </w:rPr>
      </w:pPr>
      <w:r>
        <w:rPr>
          <w:rFonts w:hint="default"/>
          <w:sz w:val="24"/>
          <w:szCs w:val="24"/>
        </w:rPr>
        <w:t>In summary, the FDA accepted traditional approval for Dato</w:t>
      </w:r>
      <w:r>
        <w:rPr>
          <w:rFonts w:hint="default"/>
          <w:sz w:val="24"/>
          <w:szCs w:val="24"/>
        </w:rPr>
        <w:noBreakHyphen/>
      </w:r>
      <w:r>
        <w:rPr>
          <w:rFonts w:hint="default"/>
          <w:sz w:val="24"/>
          <w:szCs w:val="24"/>
        </w:rPr>
        <w:t>DXd based on a robust PFS benefit from a head</w:t>
      </w:r>
      <w:r>
        <w:rPr>
          <w:rFonts w:hint="default"/>
          <w:sz w:val="24"/>
          <w:szCs w:val="24"/>
        </w:rPr>
        <w:noBreakHyphen/>
      </w:r>
      <w:r>
        <w:rPr>
          <w:rFonts w:hint="default"/>
          <w:sz w:val="24"/>
          <w:szCs w:val="24"/>
        </w:rPr>
        <w:t>to</w:t>
      </w:r>
      <w:r>
        <w:rPr>
          <w:rFonts w:hint="default"/>
          <w:sz w:val="24"/>
          <w:szCs w:val="24"/>
        </w:rPr>
        <w:noBreakHyphen/>
      </w:r>
      <w:r>
        <w:rPr>
          <w:rFonts w:hint="default"/>
          <w:sz w:val="24"/>
          <w:szCs w:val="24"/>
        </w:rPr>
        <w:t>head trial, no detrimental trend in OS, and consistency across secondary endpoints.</w:t>
      </w:r>
    </w:p>
    <w:p w14:paraId="34D2E9A2">
      <w:pPr>
        <w:spacing w:line="360" w:lineRule="auto"/>
        <w:rPr>
          <w:rFonts w:hint="default"/>
          <w:sz w:val="24"/>
          <w:szCs w:val="24"/>
        </w:rPr>
      </w:pPr>
    </w:p>
    <w:p w14:paraId="162AB7DA">
      <w:pPr>
        <w:spacing w:line="360" w:lineRule="auto"/>
        <w:rPr>
          <w:rFonts w:hint="default"/>
          <w:b/>
          <w:bCs/>
          <w:sz w:val="24"/>
          <w:szCs w:val="24"/>
        </w:rPr>
      </w:pPr>
      <w:r>
        <w:rPr>
          <w:rFonts w:hint="default"/>
          <w:b/>
          <w:bCs/>
          <w:sz w:val="24"/>
          <w:szCs w:val="24"/>
        </w:rPr>
        <w:t>4.3. How Did Safety Influence the Decision</w:t>
      </w:r>
    </w:p>
    <w:p w14:paraId="2E1CEC6C">
      <w:pPr>
        <w:spacing w:line="360" w:lineRule="auto"/>
        <w:rPr>
          <w:rFonts w:hint="default"/>
          <w:sz w:val="24"/>
          <w:szCs w:val="24"/>
        </w:rPr>
      </w:pPr>
      <w:r>
        <w:rPr>
          <w:rFonts w:hint="default"/>
          <w:sz w:val="24"/>
          <w:szCs w:val="24"/>
        </w:rPr>
        <w:t>In the TROPION</w:t>
      </w:r>
      <w:r>
        <w:rPr>
          <w:rFonts w:hint="default"/>
          <w:sz w:val="24"/>
          <w:szCs w:val="24"/>
        </w:rPr>
        <w:noBreakHyphen/>
      </w:r>
      <w:r>
        <w:rPr>
          <w:rFonts w:hint="default"/>
          <w:sz w:val="24"/>
          <w:szCs w:val="24"/>
        </w:rPr>
        <w:t>Breast01 trial, the safety profiles of Dato</w:t>
      </w:r>
      <w:r>
        <w:rPr>
          <w:rFonts w:hint="default"/>
          <w:sz w:val="24"/>
          <w:szCs w:val="24"/>
        </w:rPr>
        <w:noBreakHyphen/>
      </w:r>
      <w:r>
        <w:rPr>
          <w:rFonts w:hint="default"/>
          <w:sz w:val="24"/>
          <w:szCs w:val="24"/>
        </w:rPr>
        <w:t>DXd and chemotherapy were significantly different. The FDA concluded that each therapeutic option had different side effect profiles.</w:t>
      </w:r>
    </w:p>
    <w:p w14:paraId="68A47A84">
      <w:pPr>
        <w:spacing w:line="360" w:lineRule="auto"/>
        <w:rPr>
          <w:rFonts w:hint="default"/>
          <w:sz w:val="24"/>
          <w:szCs w:val="24"/>
        </w:rPr>
      </w:pPr>
    </w:p>
    <w:p w14:paraId="3E9D4394">
      <w:pPr>
        <w:spacing w:line="360" w:lineRule="auto"/>
        <w:rPr>
          <w:rFonts w:hint="default"/>
          <w:sz w:val="24"/>
          <w:szCs w:val="24"/>
        </w:rPr>
      </w:pPr>
      <w:r>
        <w:rPr>
          <w:rFonts w:hint="default"/>
          <w:sz w:val="24"/>
          <w:szCs w:val="24"/>
        </w:rPr>
        <w:t>The main advantage of Dato</w:t>
      </w:r>
      <w:r>
        <w:rPr>
          <w:rFonts w:hint="default"/>
          <w:sz w:val="24"/>
          <w:szCs w:val="24"/>
        </w:rPr>
        <w:noBreakHyphen/>
      </w:r>
      <w:r>
        <w:rPr>
          <w:rFonts w:hint="default"/>
          <w:sz w:val="24"/>
          <w:szCs w:val="24"/>
        </w:rPr>
        <w:t>DXd is that it largely avoids the severe hematologic toxicities commonly seen with chemotherapy: the incidence of grade 3</w:t>
      </w:r>
      <w:r>
        <w:rPr>
          <w:rFonts w:hint="default"/>
          <w:sz w:val="24"/>
          <w:szCs w:val="24"/>
        </w:rPr>
        <w:noBreakHyphen/>
      </w:r>
      <w:r>
        <w:rPr>
          <w:rFonts w:hint="default"/>
          <w:sz w:val="24"/>
          <w:szCs w:val="24"/>
        </w:rPr>
        <w:t>4 neutropenia was only 1.6%, compared to 35% in the chemotherapy arm.</w:t>
      </w:r>
    </w:p>
    <w:p w14:paraId="6DAB1F75">
      <w:pPr>
        <w:spacing w:line="360" w:lineRule="auto"/>
        <w:rPr>
          <w:rFonts w:hint="default"/>
          <w:sz w:val="24"/>
          <w:szCs w:val="24"/>
        </w:rPr>
      </w:pPr>
    </w:p>
    <w:p w14:paraId="57839C67">
      <w:pPr>
        <w:spacing w:line="360" w:lineRule="auto"/>
        <w:rPr>
          <w:rFonts w:hint="default"/>
          <w:sz w:val="24"/>
          <w:szCs w:val="24"/>
        </w:rPr>
      </w:pPr>
      <w:r>
        <w:rPr>
          <w:rFonts w:hint="default"/>
          <w:sz w:val="24"/>
          <w:szCs w:val="24"/>
        </w:rPr>
        <w:t>However, Dato</w:t>
      </w:r>
      <w:r>
        <w:rPr>
          <w:rFonts w:hint="default"/>
          <w:sz w:val="24"/>
          <w:szCs w:val="24"/>
        </w:rPr>
        <w:noBreakHyphen/>
      </w:r>
      <w:r>
        <w:rPr>
          <w:rFonts w:hint="default"/>
          <w:sz w:val="24"/>
          <w:szCs w:val="24"/>
        </w:rPr>
        <w:t>DXd also introduces adverse events that are uncommon with chemotherapy. Any</w:t>
      </w:r>
      <w:r>
        <w:rPr>
          <w:rFonts w:hint="default"/>
          <w:sz w:val="24"/>
          <w:szCs w:val="24"/>
        </w:rPr>
        <w:noBreakHyphen/>
      </w:r>
      <w:r>
        <w:rPr>
          <w:rFonts w:hint="default"/>
          <w:sz w:val="24"/>
          <w:szCs w:val="24"/>
        </w:rPr>
        <w:t>grade stomatitis occurred in 59% of patients; dry eye and keratitis occurred in 27% and 24%, respectively; interstitial lung disease (ILD) occurred in 4.2% of patients in the Dato</w:t>
      </w:r>
      <w:r>
        <w:rPr>
          <w:rFonts w:hint="default"/>
          <w:sz w:val="24"/>
          <w:szCs w:val="24"/>
        </w:rPr>
        <w:noBreakHyphen/>
      </w:r>
      <w:r>
        <w:rPr>
          <w:rFonts w:hint="default"/>
          <w:sz w:val="24"/>
          <w:szCs w:val="24"/>
        </w:rPr>
        <w:t>DXd arm, including one fatal case. In addition, patients reported slightly worse overall side</w:t>
      </w:r>
      <w:r>
        <w:rPr>
          <w:rFonts w:hint="default"/>
          <w:sz w:val="24"/>
          <w:szCs w:val="24"/>
        </w:rPr>
        <w:noBreakHyphen/>
      </w:r>
      <w:r>
        <w:rPr>
          <w:rFonts w:hint="default"/>
          <w:sz w:val="24"/>
          <w:szCs w:val="24"/>
        </w:rPr>
        <w:t>effect bother (PGI</w:t>
      </w:r>
      <w:r>
        <w:rPr>
          <w:rFonts w:hint="default"/>
          <w:sz w:val="24"/>
          <w:szCs w:val="24"/>
        </w:rPr>
        <w:noBreakHyphen/>
      </w:r>
      <w:r>
        <w:rPr>
          <w:rFonts w:hint="default"/>
          <w:sz w:val="24"/>
          <w:szCs w:val="24"/>
        </w:rPr>
        <w:t>TT) compared to chemotherapy.</w:t>
      </w:r>
    </w:p>
    <w:p w14:paraId="70B9FF82">
      <w:pPr>
        <w:spacing w:line="360" w:lineRule="auto"/>
        <w:rPr>
          <w:rFonts w:hint="default"/>
          <w:sz w:val="24"/>
          <w:szCs w:val="24"/>
        </w:rPr>
      </w:pPr>
    </w:p>
    <w:p w14:paraId="2D76CAF8">
      <w:pPr>
        <w:spacing w:line="360" w:lineRule="auto"/>
        <w:rPr>
          <w:rFonts w:hint="default"/>
          <w:sz w:val="24"/>
          <w:szCs w:val="24"/>
        </w:rPr>
      </w:pPr>
      <w:r>
        <w:rPr>
          <w:rFonts w:hint="default"/>
          <w:sz w:val="24"/>
          <w:szCs w:val="24"/>
        </w:rPr>
        <w:t>Faced with these differences, the FDA applied an individualized benefit</w:t>
      </w:r>
      <w:r>
        <w:rPr>
          <w:rFonts w:hint="default"/>
          <w:sz w:val="24"/>
          <w:szCs w:val="24"/>
        </w:rPr>
        <w:noBreakHyphen/>
      </w:r>
      <w:r>
        <w:rPr>
          <w:rFonts w:hint="default"/>
          <w:sz w:val="24"/>
          <w:szCs w:val="24"/>
        </w:rPr>
        <w:t>risk assessment. On the one hand, the marked reduction in severe hematologic toxicity makes Dato</w:t>
      </w:r>
      <w:r>
        <w:rPr>
          <w:rFonts w:hint="default"/>
          <w:sz w:val="24"/>
          <w:szCs w:val="24"/>
        </w:rPr>
        <w:noBreakHyphen/>
      </w:r>
      <w:r>
        <w:rPr>
          <w:rFonts w:hint="default"/>
          <w:sz w:val="24"/>
          <w:szCs w:val="24"/>
        </w:rPr>
        <w:t>DXd a reasonable alternative for patients who cannot tolerate or wish to avoid myelosuppression. On the other hand, the new toxicities have all been addressed in the drug labeling through warnings and preventive measures (U.S. Food and Drug Administration, 2024a). The FDA explicitly stated that physicians can choose between Dato</w:t>
      </w:r>
      <w:r>
        <w:rPr>
          <w:rFonts w:hint="default"/>
          <w:sz w:val="24"/>
          <w:szCs w:val="24"/>
        </w:rPr>
        <w:noBreakHyphen/>
      </w:r>
      <w:r>
        <w:rPr>
          <w:rFonts w:hint="default"/>
          <w:sz w:val="24"/>
          <w:szCs w:val="24"/>
        </w:rPr>
        <w:t>DXd and chemotherapy based on each patient's individual circumstances.</w:t>
      </w:r>
    </w:p>
    <w:p w14:paraId="645BD990">
      <w:pPr>
        <w:spacing w:line="360" w:lineRule="auto"/>
        <w:rPr>
          <w:rFonts w:hint="default"/>
          <w:sz w:val="24"/>
          <w:szCs w:val="24"/>
        </w:rPr>
      </w:pPr>
    </w:p>
    <w:p w14:paraId="2CAC9242">
      <w:pPr>
        <w:spacing w:line="360" w:lineRule="auto"/>
        <w:rPr>
          <w:rFonts w:hint="default"/>
          <w:sz w:val="24"/>
          <w:szCs w:val="24"/>
        </w:rPr>
      </w:pPr>
      <w:r>
        <w:rPr>
          <w:rFonts w:hint="default"/>
          <w:sz w:val="24"/>
          <w:szCs w:val="24"/>
        </w:rPr>
        <w:t>Overall, the FDA therefore concluded that the benefit</w:t>
      </w:r>
      <w:r>
        <w:rPr>
          <w:rFonts w:hint="default"/>
          <w:sz w:val="24"/>
          <w:szCs w:val="24"/>
        </w:rPr>
        <w:noBreakHyphen/>
      </w:r>
      <w:r>
        <w:rPr>
          <w:rFonts w:hint="default"/>
          <w:sz w:val="24"/>
          <w:szCs w:val="24"/>
        </w:rPr>
        <w:t>risk balance for this drug is acceptable and approved it for marketing.</w:t>
      </w:r>
    </w:p>
    <w:p w14:paraId="492A40D6">
      <w:pPr>
        <w:spacing w:line="360" w:lineRule="auto"/>
        <w:rPr>
          <w:rFonts w:hint="default"/>
          <w:sz w:val="24"/>
          <w:szCs w:val="24"/>
        </w:rPr>
      </w:pPr>
    </w:p>
    <w:p w14:paraId="2CAB62D1">
      <w:pPr>
        <w:numPr>
          <w:ilvl w:val="0"/>
          <w:numId w:val="1"/>
        </w:numPr>
        <w:spacing w:line="360" w:lineRule="auto"/>
        <w:ind w:left="0" w:leftChars="0" w:firstLine="0" w:firstLineChars="0"/>
        <w:rPr>
          <w:rFonts w:hint="default" w:eastAsia="宋体"/>
          <w:b/>
          <w:bCs/>
          <w:sz w:val="24"/>
          <w:szCs w:val="24"/>
          <w:lang w:val="en-US" w:eastAsia="zh-CN"/>
        </w:rPr>
      </w:pPr>
      <w:r>
        <w:rPr>
          <w:rFonts w:hint="default" w:eastAsia="宋体"/>
          <w:b/>
          <w:bCs/>
          <w:sz w:val="24"/>
          <w:szCs w:val="24"/>
          <w:lang w:val="en-US" w:eastAsia="zh-CN"/>
        </w:rPr>
        <w:t>Strategic Regulatory Planning</w:t>
      </w:r>
    </w:p>
    <w:p w14:paraId="099BD4A7">
      <w:pPr>
        <w:numPr>
          <w:ilvl w:val="1"/>
          <w:numId w:val="1"/>
        </w:numPr>
        <w:spacing w:line="360" w:lineRule="auto"/>
        <w:ind w:left="0" w:leftChars="0" w:firstLine="0" w:firstLineChars="0"/>
        <w:rPr>
          <w:rFonts w:hint="default"/>
          <w:b/>
          <w:bCs/>
          <w:sz w:val="24"/>
          <w:szCs w:val="24"/>
        </w:rPr>
      </w:pPr>
      <w:r>
        <w:rPr>
          <w:rFonts w:hint="default"/>
          <w:b/>
          <w:bCs/>
          <w:sz w:val="24"/>
          <w:szCs w:val="24"/>
        </w:rPr>
        <w:t>Propose a regulatory strategy</w:t>
      </w:r>
    </w:p>
    <w:p w14:paraId="22997923">
      <w:pPr>
        <w:spacing w:line="360" w:lineRule="auto"/>
        <w:rPr>
          <w:rFonts w:hint="default"/>
          <w:sz w:val="24"/>
          <w:szCs w:val="24"/>
        </w:rPr>
      </w:pPr>
      <w:r>
        <w:rPr>
          <w:rFonts w:hint="default"/>
          <w:sz w:val="24"/>
          <w:szCs w:val="24"/>
        </w:rPr>
        <w:t>Before launching the randomized Phase III TROPION</w:t>
      </w:r>
      <w:r>
        <w:rPr>
          <w:rFonts w:hint="default"/>
          <w:sz w:val="24"/>
          <w:szCs w:val="24"/>
        </w:rPr>
        <w:noBreakHyphen/>
      </w:r>
      <w:r>
        <w:rPr>
          <w:rFonts w:hint="default"/>
          <w:sz w:val="24"/>
          <w:szCs w:val="24"/>
        </w:rPr>
        <w:t>Breast01 trial, the sponsor had already obtained preliminary Phase I/II data. The disease is a serious, life</w:t>
      </w:r>
      <w:r>
        <w:rPr>
          <w:rFonts w:hint="default"/>
          <w:sz w:val="24"/>
          <w:szCs w:val="24"/>
        </w:rPr>
        <w:noBreakHyphen/>
      </w:r>
      <w:r>
        <w:rPr>
          <w:rFonts w:hint="default"/>
          <w:sz w:val="24"/>
          <w:szCs w:val="24"/>
        </w:rPr>
        <w:t>threatening malignancy with a clear unmet medical need after endocrine therapy and chemotherapy. To gather more Phase I/II data, I found the multi</w:t>
      </w:r>
      <w:r>
        <w:rPr>
          <w:rFonts w:hint="default"/>
          <w:sz w:val="24"/>
          <w:szCs w:val="24"/>
        </w:rPr>
        <w:noBreakHyphen/>
      </w:r>
      <w:r>
        <w:rPr>
          <w:rFonts w:hint="default"/>
          <w:sz w:val="24"/>
          <w:szCs w:val="24"/>
        </w:rPr>
        <w:t xml:space="preserve">discipline review report </w:t>
      </w:r>
      <w:r>
        <w:rPr>
          <w:rFonts w:hint="eastAsia"/>
          <w:sz w:val="24"/>
          <w:szCs w:val="24"/>
          <w:lang w:val="en-US" w:eastAsia="zh-CN"/>
        </w:rPr>
        <w:t xml:space="preserve">and prescribing information </w:t>
      </w:r>
      <w:r>
        <w:rPr>
          <w:rFonts w:hint="default"/>
          <w:sz w:val="24"/>
          <w:szCs w:val="24"/>
        </w:rPr>
        <w:t>on the FDA website.</w:t>
      </w:r>
    </w:p>
    <w:p w14:paraId="6BC6FADA">
      <w:pPr>
        <w:spacing w:line="360" w:lineRule="auto"/>
        <w:rPr>
          <w:rFonts w:hint="default"/>
          <w:sz w:val="24"/>
          <w:szCs w:val="24"/>
        </w:rPr>
      </w:pPr>
    </w:p>
    <w:p w14:paraId="7AA7BA02">
      <w:pPr>
        <w:spacing w:line="360" w:lineRule="auto"/>
        <w:rPr>
          <w:rFonts w:hint="default"/>
          <w:sz w:val="24"/>
          <w:szCs w:val="24"/>
        </w:rPr>
      </w:pPr>
      <w:r>
        <w:rPr>
          <w:rFonts w:hint="default"/>
          <w:b/>
          <w:bCs/>
          <w:sz w:val="24"/>
          <w:szCs w:val="24"/>
        </w:rPr>
        <w:t>Whether to apply for BT</w:t>
      </w:r>
    </w:p>
    <w:p w14:paraId="63622486">
      <w:pPr>
        <w:spacing w:line="360" w:lineRule="auto"/>
        <w:rPr>
          <w:rFonts w:hint="default"/>
          <w:sz w:val="24"/>
          <w:szCs w:val="24"/>
        </w:rPr>
      </w:pPr>
      <w:r>
        <w:rPr>
          <w:rFonts w:hint="eastAsia"/>
          <w:sz w:val="24"/>
          <w:szCs w:val="24"/>
          <w:lang w:val="en-US" w:eastAsia="zh-CN"/>
        </w:rPr>
        <w:t xml:space="preserve">According to </w:t>
      </w:r>
      <w:r>
        <w:rPr>
          <w:rFonts w:hint="default"/>
          <w:sz w:val="24"/>
          <w:szCs w:val="24"/>
        </w:rPr>
        <w:t>multi</w:t>
      </w:r>
      <w:r>
        <w:rPr>
          <w:rFonts w:hint="default"/>
          <w:sz w:val="24"/>
          <w:szCs w:val="24"/>
        </w:rPr>
        <w:noBreakHyphen/>
      </w:r>
      <w:r>
        <w:rPr>
          <w:rFonts w:hint="default"/>
          <w:sz w:val="24"/>
          <w:szCs w:val="24"/>
        </w:rPr>
        <w:t>discipline review report</w:t>
      </w:r>
      <w:r>
        <w:rPr>
          <w:rFonts w:hint="eastAsia"/>
          <w:sz w:val="24"/>
          <w:szCs w:val="24"/>
          <w:lang w:val="en-US" w:eastAsia="zh-CN"/>
        </w:rPr>
        <w:t xml:space="preserve"> (U.S. Food and Drug Administration, 2024b), i</w:t>
      </w:r>
      <w:r>
        <w:rPr>
          <w:rFonts w:hint="default"/>
          <w:sz w:val="24"/>
          <w:szCs w:val="24"/>
        </w:rPr>
        <w:t>n the TP01 study, patients receiving Dato</w:t>
      </w:r>
      <w:r>
        <w:rPr>
          <w:rFonts w:hint="default"/>
          <w:sz w:val="24"/>
          <w:szCs w:val="24"/>
        </w:rPr>
        <w:noBreakHyphen/>
      </w:r>
      <w:r>
        <w:rPr>
          <w:rFonts w:hint="default"/>
          <w:sz w:val="24"/>
          <w:szCs w:val="24"/>
        </w:rPr>
        <w:t>DXd at 6 mg/kg achieved a confirmed ORR of 26.8%, and the median DoR had not yet been reached. While these data are better than historical chemotherapy controls, the magnitude of improvement is not striking. At the same time, Phase I dose</w:t>
      </w:r>
      <w:r>
        <w:rPr>
          <w:rFonts w:hint="default"/>
          <w:sz w:val="24"/>
          <w:szCs w:val="24"/>
        </w:rPr>
        <w:noBreakHyphen/>
      </w:r>
      <w:r>
        <w:rPr>
          <w:rFonts w:hint="default"/>
          <w:sz w:val="24"/>
          <w:szCs w:val="24"/>
        </w:rPr>
        <w:t>finding showed that the 8 mg/kg dose (the MTD) had unacceptable toxicity, while the 6 mg/kg dose offered only limited efficacy improvement. Therefore, based on the Phase I/II data available at the time, the likelihood of obtaining BTD was low. Nevertheless, applying for BTD is low</w:t>
      </w:r>
      <w:r>
        <w:rPr>
          <w:rFonts w:hint="default"/>
          <w:sz w:val="24"/>
          <w:szCs w:val="24"/>
        </w:rPr>
        <w:noBreakHyphen/>
      </w:r>
      <w:r>
        <w:rPr>
          <w:rFonts w:hint="default"/>
          <w:sz w:val="24"/>
          <w:szCs w:val="24"/>
        </w:rPr>
        <w:t>cost and could facilitate early communication with the FDA, so it could be pursued as an exploratory application but not as a core strategic path.</w:t>
      </w:r>
    </w:p>
    <w:p w14:paraId="0A167F45">
      <w:pPr>
        <w:spacing w:line="360" w:lineRule="auto"/>
        <w:rPr>
          <w:rFonts w:hint="eastAsia"/>
          <w:sz w:val="24"/>
          <w:szCs w:val="24"/>
          <w:lang w:eastAsia="zh-CN"/>
        </w:rPr>
      </w:pPr>
    </w:p>
    <w:p w14:paraId="65E63A9E">
      <w:pPr>
        <w:spacing w:line="360" w:lineRule="auto"/>
        <w:rPr>
          <w:rFonts w:hint="default"/>
          <w:b/>
          <w:bCs/>
          <w:sz w:val="24"/>
          <w:szCs w:val="24"/>
        </w:rPr>
      </w:pPr>
      <w:r>
        <w:rPr>
          <w:rFonts w:hint="default"/>
          <w:b/>
          <w:bCs/>
          <w:sz w:val="24"/>
          <w:szCs w:val="24"/>
        </w:rPr>
        <w:t>AA</w:t>
      </w:r>
      <w:r>
        <w:rPr>
          <w:rFonts w:hint="eastAsia"/>
          <w:b/>
          <w:bCs/>
          <w:sz w:val="24"/>
          <w:szCs w:val="24"/>
          <w:lang w:val="en-US" w:eastAsia="zh-CN"/>
        </w:rPr>
        <w:t xml:space="preserve"> </w:t>
      </w:r>
      <w:r>
        <w:rPr>
          <w:rFonts w:hint="default"/>
          <w:b/>
          <w:bCs/>
          <w:sz w:val="24"/>
          <w:szCs w:val="24"/>
        </w:rPr>
        <w:t>vs.</w:t>
      </w:r>
      <w:r>
        <w:rPr>
          <w:rFonts w:hint="eastAsia"/>
          <w:b/>
          <w:bCs/>
          <w:sz w:val="24"/>
          <w:szCs w:val="24"/>
          <w:lang w:val="en-US" w:eastAsia="zh-CN"/>
        </w:rPr>
        <w:t xml:space="preserve"> </w:t>
      </w:r>
      <w:r>
        <w:rPr>
          <w:rFonts w:hint="default"/>
          <w:b/>
          <w:bCs/>
          <w:sz w:val="24"/>
          <w:szCs w:val="24"/>
        </w:rPr>
        <w:t>TA</w:t>
      </w:r>
    </w:p>
    <w:p w14:paraId="16FE1AB4">
      <w:pPr>
        <w:spacing w:line="360" w:lineRule="auto"/>
        <w:rPr>
          <w:rFonts w:hint="default"/>
          <w:sz w:val="24"/>
          <w:szCs w:val="24"/>
        </w:rPr>
      </w:pPr>
      <w:r>
        <w:rPr>
          <w:rFonts w:hint="default"/>
          <w:sz w:val="24"/>
          <w:szCs w:val="24"/>
        </w:rPr>
        <w:t>A</w:t>
      </w:r>
      <w:r>
        <w:rPr>
          <w:rFonts w:hint="eastAsia"/>
          <w:sz w:val="24"/>
          <w:szCs w:val="24"/>
          <w:lang w:val="en-US" w:eastAsia="zh-CN"/>
        </w:rPr>
        <w:t>A</w:t>
      </w:r>
      <w:r>
        <w:rPr>
          <w:rFonts w:hint="default"/>
          <w:sz w:val="24"/>
          <w:szCs w:val="24"/>
        </w:rPr>
        <w:t xml:space="preserve"> would allow earlier marketing based on a surrogate endpoint, but it requires post</w:t>
      </w:r>
      <w:r>
        <w:rPr>
          <w:rFonts w:hint="default"/>
          <w:sz w:val="24"/>
          <w:szCs w:val="24"/>
        </w:rPr>
        <w:noBreakHyphen/>
      </w:r>
      <w:r>
        <w:rPr>
          <w:rFonts w:hint="default"/>
          <w:sz w:val="24"/>
          <w:szCs w:val="24"/>
        </w:rPr>
        <w:t>marketing confirmatory trials. In TP01, Dato</w:t>
      </w:r>
      <w:r>
        <w:rPr>
          <w:rFonts w:hint="default"/>
          <w:sz w:val="24"/>
          <w:szCs w:val="24"/>
        </w:rPr>
        <w:noBreakHyphen/>
      </w:r>
      <w:r>
        <w:rPr>
          <w:rFonts w:hint="default"/>
          <w:sz w:val="24"/>
          <w:szCs w:val="24"/>
        </w:rPr>
        <w:t>DXd did not show efficacy dramatically superior to historical chemotherapy, so the benefit</w:t>
      </w:r>
      <w:r>
        <w:rPr>
          <w:rFonts w:hint="default"/>
          <w:sz w:val="24"/>
          <w:szCs w:val="24"/>
        </w:rPr>
        <w:noBreakHyphen/>
      </w:r>
      <w:r>
        <w:rPr>
          <w:rFonts w:hint="default"/>
          <w:sz w:val="24"/>
          <w:szCs w:val="24"/>
        </w:rPr>
        <w:t>risk argument for AA might be weak. Moreover, if a subsequent confirmatory trial failed to verify clinical benefit, the accelerated approval would face withdrawal risk. In hindsight, the final Phase III trial did not show an OS benefit, so the AA pathway was not an ideal first choice.</w:t>
      </w:r>
    </w:p>
    <w:p w14:paraId="50000EA0">
      <w:pPr>
        <w:spacing w:line="360" w:lineRule="auto"/>
        <w:rPr>
          <w:rFonts w:hint="default"/>
          <w:sz w:val="24"/>
          <w:szCs w:val="24"/>
        </w:rPr>
      </w:pPr>
    </w:p>
    <w:p w14:paraId="78A599BB">
      <w:pPr>
        <w:spacing w:line="360" w:lineRule="auto"/>
        <w:rPr>
          <w:rFonts w:hint="default"/>
          <w:sz w:val="24"/>
          <w:szCs w:val="24"/>
        </w:rPr>
      </w:pPr>
      <w:r>
        <w:rPr>
          <w:rFonts w:hint="default"/>
          <w:sz w:val="24"/>
          <w:szCs w:val="24"/>
        </w:rPr>
        <w:t xml:space="preserve">In contrast, directly conducting a randomized, controlled Phase III trial to pursue </w:t>
      </w:r>
      <w:r>
        <w:rPr>
          <w:rFonts w:hint="eastAsia"/>
          <w:sz w:val="24"/>
          <w:szCs w:val="24"/>
          <w:lang w:val="en-US" w:eastAsia="zh-CN"/>
        </w:rPr>
        <w:t>TA</w:t>
      </w:r>
      <w:r>
        <w:rPr>
          <w:rFonts w:hint="default"/>
          <w:sz w:val="24"/>
          <w:szCs w:val="24"/>
        </w:rPr>
        <w:t xml:space="preserve"> was more solid. </w:t>
      </w:r>
      <w:r>
        <w:rPr>
          <w:rFonts w:hint="eastAsia"/>
          <w:sz w:val="24"/>
          <w:szCs w:val="24"/>
          <w:lang w:val="en-US" w:eastAsia="zh-CN"/>
        </w:rPr>
        <w:t>TA</w:t>
      </w:r>
      <w:r>
        <w:rPr>
          <w:rFonts w:hint="default"/>
          <w:sz w:val="24"/>
          <w:szCs w:val="24"/>
        </w:rPr>
        <w:t xml:space="preserve"> requires demonstration of clinical benefit based on adequate and well</w:t>
      </w:r>
      <w:r>
        <w:rPr>
          <w:rFonts w:hint="default"/>
          <w:sz w:val="24"/>
          <w:szCs w:val="24"/>
        </w:rPr>
        <w:noBreakHyphen/>
      </w:r>
      <w:r>
        <w:rPr>
          <w:rFonts w:hint="default"/>
          <w:sz w:val="24"/>
          <w:szCs w:val="24"/>
        </w:rPr>
        <w:t>controlled trials, with PFS as a primary endpoint. The final Phase III results showed a robust PFS benefit and no detrimental trend in OS.</w:t>
      </w:r>
    </w:p>
    <w:p w14:paraId="66EF98F5">
      <w:pPr>
        <w:spacing w:line="360" w:lineRule="auto"/>
        <w:rPr>
          <w:rFonts w:hint="default"/>
          <w:sz w:val="24"/>
          <w:szCs w:val="24"/>
        </w:rPr>
      </w:pPr>
    </w:p>
    <w:p w14:paraId="1946C11C">
      <w:pPr>
        <w:spacing w:line="360" w:lineRule="auto"/>
        <w:rPr>
          <w:rFonts w:hint="default"/>
          <w:sz w:val="24"/>
          <w:szCs w:val="24"/>
        </w:rPr>
      </w:pPr>
      <w:r>
        <w:rPr>
          <w:rFonts w:hint="default"/>
          <w:b/>
          <w:bCs/>
          <w:sz w:val="24"/>
          <w:szCs w:val="24"/>
        </w:rPr>
        <w:t>Final strategy recommendation:</w:t>
      </w:r>
      <w:r>
        <w:rPr>
          <w:rFonts w:hint="default"/>
          <w:b/>
          <w:bCs/>
          <w:sz w:val="24"/>
          <w:szCs w:val="24"/>
        </w:rPr>
        <w:br w:type="textWrapping"/>
      </w:r>
      <w:r>
        <w:rPr>
          <w:rFonts w:hint="default"/>
          <w:sz w:val="24"/>
          <w:szCs w:val="24"/>
        </w:rPr>
        <w:t>Prioritize the randomized Phase III trial (</w:t>
      </w:r>
      <w:r>
        <w:rPr>
          <w:rFonts w:hint="eastAsia"/>
          <w:sz w:val="24"/>
          <w:szCs w:val="24"/>
          <w:lang w:val="en-US" w:eastAsia="zh-CN"/>
        </w:rPr>
        <w:t>TA</w:t>
      </w:r>
      <w:r>
        <w:rPr>
          <w:rFonts w:hint="default"/>
          <w:sz w:val="24"/>
          <w:szCs w:val="24"/>
        </w:rPr>
        <w:t>) while also applying for Fast Track designation and it offers rolling review and frequent FDA communication.</w:t>
      </w:r>
    </w:p>
    <w:p w14:paraId="3B9A1C0E">
      <w:pPr>
        <w:spacing w:line="360" w:lineRule="auto"/>
        <w:rPr>
          <w:rFonts w:hint="default"/>
          <w:sz w:val="24"/>
          <w:szCs w:val="24"/>
        </w:rPr>
      </w:pPr>
    </w:p>
    <w:p w14:paraId="6E2A6622">
      <w:pPr>
        <w:numPr>
          <w:ilvl w:val="1"/>
          <w:numId w:val="1"/>
        </w:numPr>
        <w:spacing w:line="360" w:lineRule="auto"/>
        <w:ind w:left="0" w:leftChars="0" w:firstLine="0" w:firstLineChars="0"/>
        <w:rPr>
          <w:rFonts w:hint="eastAsia" w:eastAsia="宋体"/>
          <w:b/>
          <w:bCs/>
          <w:sz w:val="24"/>
          <w:szCs w:val="24"/>
          <w:lang w:val="en-US" w:eastAsia="zh-CN"/>
        </w:rPr>
      </w:pPr>
      <w:r>
        <w:rPr>
          <w:rFonts w:hint="eastAsia"/>
          <w:b/>
          <w:bCs/>
          <w:sz w:val="24"/>
          <w:szCs w:val="24"/>
          <w:lang w:val="en-US" w:eastAsia="zh-CN"/>
        </w:rPr>
        <w:t>A</w:t>
      </w:r>
      <w:r>
        <w:rPr>
          <w:rFonts w:hint="eastAsia" w:eastAsia="宋体"/>
          <w:b/>
          <w:bCs/>
          <w:sz w:val="24"/>
          <w:szCs w:val="24"/>
          <w:lang w:val="en-US" w:eastAsia="zh-CN"/>
        </w:rPr>
        <w:t>lternative development strategy</w:t>
      </w:r>
    </w:p>
    <w:p w14:paraId="7C8E7B03">
      <w:pPr>
        <w:numPr>
          <w:ilvl w:val="2"/>
          <w:numId w:val="1"/>
        </w:numPr>
        <w:spacing w:line="360" w:lineRule="auto"/>
        <w:ind w:left="0" w:leftChars="0" w:firstLine="0" w:firstLineChars="0"/>
        <w:rPr>
          <w:rFonts w:hint="default"/>
          <w:b/>
          <w:bCs/>
          <w:sz w:val="24"/>
          <w:szCs w:val="24"/>
        </w:rPr>
      </w:pPr>
      <w:r>
        <w:rPr>
          <w:rFonts w:hint="default"/>
          <w:b/>
          <w:bCs/>
          <w:sz w:val="24"/>
          <w:szCs w:val="24"/>
        </w:rPr>
        <w:t>Biomarker</w:t>
      </w:r>
      <w:r>
        <w:rPr>
          <w:rFonts w:hint="default"/>
          <w:b/>
          <w:bCs/>
          <w:sz w:val="24"/>
          <w:szCs w:val="24"/>
        </w:rPr>
        <w:noBreakHyphen/>
      </w:r>
      <w:r>
        <w:rPr>
          <w:rFonts w:hint="default"/>
          <w:b/>
          <w:bCs/>
          <w:sz w:val="24"/>
          <w:szCs w:val="24"/>
        </w:rPr>
        <w:t>enriched population</w:t>
      </w:r>
    </w:p>
    <w:p w14:paraId="12DC3333">
      <w:pPr>
        <w:spacing w:line="360" w:lineRule="auto"/>
        <w:rPr>
          <w:rFonts w:hint="default"/>
          <w:sz w:val="24"/>
          <w:szCs w:val="24"/>
        </w:rPr>
      </w:pPr>
      <w:r>
        <w:rPr>
          <w:rFonts w:hint="default"/>
          <w:sz w:val="24"/>
          <w:szCs w:val="24"/>
        </w:rPr>
        <w:t>According to the FDA Approval Summary</w:t>
      </w:r>
      <w:r>
        <w:rPr>
          <w:rFonts w:hint="eastAsia"/>
          <w:sz w:val="24"/>
          <w:szCs w:val="24"/>
          <w:lang w:val="en-US" w:eastAsia="zh-CN"/>
        </w:rPr>
        <w:t xml:space="preserve"> </w:t>
      </w:r>
      <w:r>
        <w:rPr>
          <w:rFonts w:hint="default"/>
          <w:sz w:val="24"/>
          <w:szCs w:val="24"/>
        </w:rPr>
        <w:t>(U.S. Food and Drug Administration, 2024a), although Trop</w:t>
      </w:r>
      <w:r>
        <w:rPr>
          <w:rFonts w:hint="default"/>
          <w:sz w:val="24"/>
          <w:szCs w:val="24"/>
        </w:rPr>
        <w:noBreakHyphen/>
      </w:r>
      <w:r>
        <w:rPr>
          <w:rFonts w:hint="default"/>
          <w:sz w:val="24"/>
          <w:szCs w:val="24"/>
        </w:rPr>
        <w:t>2 expression levels did not effectively predict efficacy in the TROPION</w:t>
      </w:r>
      <w:r>
        <w:rPr>
          <w:rFonts w:hint="default"/>
          <w:sz w:val="24"/>
          <w:szCs w:val="24"/>
        </w:rPr>
        <w:noBreakHyphen/>
      </w:r>
      <w:r>
        <w:rPr>
          <w:rFonts w:hint="default"/>
          <w:sz w:val="24"/>
          <w:szCs w:val="24"/>
        </w:rPr>
        <w:t>Breast01 trial, another ADC in the same class – fam</w:t>
      </w:r>
      <w:r>
        <w:rPr>
          <w:rFonts w:hint="default"/>
          <w:sz w:val="24"/>
          <w:szCs w:val="24"/>
        </w:rPr>
        <w:noBreakHyphen/>
      </w:r>
      <w:r>
        <w:rPr>
          <w:rFonts w:hint="default"/>
          <w:sz w:val="24"/>
          <w:szCs w:val="24"/>
        </w:rPr>
        <w:t>trastuzumab deruxtecan – has made breakthroughs in the HER2</w:t>
      </w:r>
      <w:r>
        <w:rPr>
          <w:rFonts w:hint="default"/>
          <w:sz w:val="24"/>
          <w:szCs w:val="24"/>
        </w:rPr>
        <w:noBreakHyphen/>
      </w:r>
      <w:r>
        <w:rPr>
          <w:rFonts w:hint="default"/>
          <w:sz w:val="24"/>
          <w:szCs w:val="24"/>
        </w:rPr>
        <w:t>low (IHC 1+ or IHC 2+/ISH</w:t>
      </w:r>
      <w:r>
        <w:rPr>
          <w:rFonts w:hint="default"/>
          <w:sz w:val="24"/>
          <w:szCs w:val="24"/>
        </w:rPr>
        <w:noBreakHyphen/>
      </w:r>
      <w:r>
        <w:rPr>
          <w:rFonts w:hint="default"/>
          <w:sz w:val="24"/>
          <w:szCs w:val="24"/>
        </w:rPr>
        <w:t>) and HER2</w:t>
      </w:r>
      <w:r>
        <w:rPr>
          <w:rFonts w:hint="default"/>
          <w:sz w:val="24"/>
          <w:szCs w:val="24"/>
        </w:rPr>
        <w:noBreakHyphen/>
      </w:r>
      <w:r>
        <w:rPr>
          <w:rFonts w:hint="default"/>
          <w:sz w:val="24"/>
          <w:szCs w:val="24"/>
        </w:rPr>
        <w:t>ultralow populations. About 60–70% of HR+/HER2</w:t>
      </w:r>
      <w:r>
        <w:rPr>
          <w:rFonts w:hint="default"/>
          <w:sz w:val="24"/>
          <w:szCs w:val="24"/>
        </w:rPr>
        <w:noBreakHyphen/>
      </w:r>
      <w:r>
        <w:rPr>
          <w:rFonts w:hint="default"/>
          <w:sz w:val="24"/>
          <w:szCs w:val="24"/>
        </w:rPr>
        <w:t xml:space="preserve"> breast cancers are HER2</w:t>
      </w:r>
      <w:r>
        <w:rPr>
          <w:rFonts w:hint="default"/>
          <w:sz w:val="24"/>
          <w:szCs w:val="24"/>
        </w:rPr>
        <w:noBreakHyphen/>
      </w:r>
      <w:r>
        <w:rPr>
          <w:rFonts w:hint="default"/>
          <w:sz w:val="24"/>
          <w:szCs w:val="24"/>
        </w:rPr>
        <w:t>low or ultralow, and these patients still lack highly effective, low</w:t>
      </w:r>
      <w:r>
        <w:rPr>
          <w:rFonts w:hint="default"/>
          <w:sz w:val="24"/>
          <w:szCs w:val="24"/>
        </w:rPr>
        <w:noBreakHyphen/>
      </w:r>
      <w:r>
        <w:rPr>
          <w:rFonts w:hint="default"/>
          <w:sz w:val="24"/>
          <w:szCs w:val="24"/>
        </w:rPr>
        <w:t>toxicity treatment options after progression on endocrine therapy. Therefore, the alternative strategy would restrict the target population to patients with advanced HR+/HER2</w:t>
      </w:r>
      <w:r>
        <w:rPr>
          <w:rFonts w:hint="default"/>
          <w:sz w:val="24"/>
          <w:szCs w:val="24"/>
        </w:rPr>
        <w:noBreakHyphen/>
      </w:r>
      <w:r>
        <w:rPr>
          <w:rFonts w:hint="default"/>
          <w:sz w:val="24"/>
          <w:szCs w:val="24"/>
        </w:rPr>
        <w:t>low or HER2</w:t>
      </w:r>
      <w:r>
        <w:rPr>
          <w:rFonts w:hint="default"/>
          <w:sz w:val="24"/>
          <w:szCs w:val="24"/>
        </w:rPr>
        <w:noBreakHyphen/>
      </w:r>
      <w:r>
        <w:rPr>
          <w:rFonts w:hint="default"/>
          <w:sz w:val="24"/>
          <w:szCs w:val="24"/>
        </w:rPr>
        <w:t>ultralow breast cancer who have progressed after at least one prior line of endocrine therapy and one prior line of chemotherapy in the metastatic setting.</w:t>
      </w:r>
    </w:p>
    <w:p w14:paraId="7CD5CB8E">
      <w:pPr>
        <w:spacing w:line="360" w:lineRule="auto"/>
        <w:rPr>
          <w:rFonts w:hint="default"/>
          <w:sz w:val="24"/>
          <w:szCs w:val="24"/>
        </w:rPr>
      </w:pPr>
    </w:p>
    <w:p w14:paraId="6389BDE1">
      <w:pPr>
        <w:numPr>
          <w:ilvl w:val="2"/>
          <w:numId w:val="1"/>
        </w:numPr>
        <w:spacing w:line="360" w:lineRule="auto"/>
        <w:ind w:left="0" w:leftChars="0" w:firstLine="0" w:firstLineChars="0"/>
        <w:rPr>
          <w:rFonts w:hint="default"/>
          <w:b/>
          <w:bCs/>
          <w:sz w:val="24"/>
          <w:szCs w:val="24"/>
        </w:rPr>
      </w:pPr>
      <w:r>
        <w:rPr>
          <w:rFonts w:hint="default"/>
          <w:b/>
          <w:bCs/>
          <w:sz w:val="24"/>
          <w:szCs w:val="24"/>
        </w:rPr>
        <w:t>Smaller</w:t>
      </w:r>
      <w:r>
        <w:rPr>
          <w:rFonts w:hint="default"/>
          <w:b/>
          <w:bCs/>
          <w:sz w:val="24"/>
          <w:szCs w:val="24"/>
        </w:rPr>
        <w:noBreakHyphen/>
      </w:r>
      <w:r>
        <w:rPr>
          <w:rFonts w:hint="default"/>
          <w:b/>
          <w:bCs/>
          <w:sz w:val="24"/>
          <w:szCs w:val="24"/>
        </w:rPr>
        <w:t>scale single</w:t>
      </w:r>
      <w:r>
        <w:rPr>
          <w:rFonts w:hint="default"/>
          <w:b/>
          <w:bCs/>
          <w:sz w:val="24"/>
          <w:szCs w:val="24"/>
        </w:rPr>
        <w:noBreakHyphen/>
      </w:r>
      <w:r>
        <w:rPr>
          <w:rFonts w:hint="default"/>
          <w:b/>
          <w:bCs/>
          <w:sz w:val="24"/>
          <w:szCs w:val="24"/>
        </w:rPr>
        <w:t>arm Phase II trial</w:t>
      </w:r>
    </w:p>
    <w:p w14:paraId="1CC8B211">
      <w:pPr>
        <w:spacing w:line="360" w:lineRule="auto"/>
        <w:rPr>
          <w:rFonts w:hint="default"/>
          <w:sz w:val="24"/>
          <w:szCs w:val="24"/>
        </w:rPr>
      </w:pPr>
      <w:r>
        <w:rPr>
          <w:rFonts w:hint="default"/>
          <w:sz w:val="24"/>
          <w:szCs w:val="24"/>
        </w:rPr>
        <w:t>A single</w:t>
      </w:r>
      <w:r>
        <w:rPr>
          <w:rFonts w:hint="default"/>
          <w:sz w:val="24"/>
          <w:szCs w:val="24"/>
        </w:rPr>
        <w:noBreakHyphen/>
      </w:r>
      <w:r>
        <w:rPr>
          <w:rFonts w:hint="default"/>
          <w:sz w:val="24"/>
          <w:szCs w:val="24"/>
        </w:rPr>
        <w:t>arm, open</w:t>
      </w:r>
      <w:r>
        <w:rPr>
          <w:rFonts w:hint="default"/>
          <w:sz w:val="24"/>
          <w:szCs w:val="24"/>
        </w:rPr>
        <w:noBreakHyphen/>
      </w:r>
      <w:r>
        <w:rPr>
          <w:rFonts w:hint="default"/>
          <w:sz w:val="24"/>
          <w:szCs w:val="24"/>
        </w:rPr>
        <w:t>label design would be used, eliminating the need for a concurrent randomized control group, thereby substantially reducing sample size and follow</w:t>
      </w:r>
      <w:r>
        <w:rPr>
          <w:rFonts w:hint="default"/>
          <w:sz w:val="24"/>
          <w:szCs w:val="24"/>
        </w:rPr>
        <w:noBreakHyphen/>
      </w:r>
      <w:r>
        <w:rPr>
          <w:rFonts w:hint="default"/>
          <w:sz w:val="24"/>
          <w:szCs w:val="24"/>
        </w:rPr>
        <w:t>up time. Under an optimal Simon two</w:t>
      </w:r>
      <w:r>
        <w:rPr>
          <w:rFonts w:hint="default"/>
          <w:sz w:val="24"/>
          <w:szCs w:val="24"/>
        </w:rPr>
        <w:noBreakHyphen/>
      </w:r>
      <w:r>
        <w:rPr>
          <w:rFonts w:hint="default"/>
          <w:sz w:val="24"/>
          <w:szCs w:val="24"/>
        </w:rPr>
        <w:t>stage design, total enrollment would be approximately 95 patients. The primary endpoint would be ORR assessed by blinded independent central review (BICR); secondary endpoints would include DoR, PFS, safety, and patient</w:t>
      </w:r>
      <w:r>
        <w:rPr>
          <w:rFonts w:hint="default"/>
          <w:sz w:val="24"/>
          <w:szCs w:val="24"/>
        </w:rPr>
        <w:noBreakHyphen/>
      </w:r>
      <w:r>
        <w:rPr>
          <w:rFonts w:hint="default"/>
          <w:sz w:val="24"/>
          <w:szCs w:val="24"/>
        </w:rPr>
        <w:t>reported outcomes. This size is far smaller than the 732 patients in TROPION</w:t>
      </w:r>
      <w:r>
        <w:rPr>
          <w:rFonts w:hint="default"/>
          <w:sz w:val="24"/>
          <w:szCs w:val="24"/>
        </w:rPr>
        <w:noBreakHyphen/>
      </w:r>
      <w:r>
        <w:rPr>
          <w:rFonts w:hint="default"/>
          <w:sz w:val="24"/>
          <w:szCs w:val="24"/>
        </w:rPr>
        <w:t>Breast01, significantly shortening the enrollment period and lowering costs.</w:t>
      </w:r>
    </w:p>
    <w:p w14:paraId="02D6132D">
      <w:pPr>
        <w:spacing w:line="360" w:lineRule="auto"/>
        <w:rPr>
          <w:rFonts w:hint="default"/>
          <w:sz w:val="24"/>
          <w:szCs w:val="24"/>
        </w:rPr>
      </w:pPr>
    </w:p>
    <w:p w14:paraId="3DDBED78">
      <w:pPr>
        <w:numPr>
          <w:ilvl w:val="2"/>
          <w:numId w:val="1"/>
        </w:numPr>
        <w:spacing w:line="360" w:lineRule="auto"/>
        <w:ind w:left="0" w:leftChars="0" w:firstLine="0" w:firstLineChars="0"/>
        <w:rPr>
          <w:rFonts w:hint="default"/>
          <w:b/>
          <w:bCs/>
          <w:sz w:val="24"/>
          <w:szCs w:val="24"/>
        </w:rPr>
      </w:pPr>
      <w:r>
        <w:rPr>
          <w:rFonts w:hint="default"/>
          <w:b/>
          <w:bCs/>
          <w:sz w:val="24"/>
          <w:szCs w:val="24"/>
        </w:rPr>
        <w:t>Using a surrogate endpoint to apply for A</w:t>
      </w:r>
      <w:r>
        <w:rPr>
          <w:rFonts w:hint="eastAsia"/>
          <w:b/>
          <w:bCs/>
          <w:sz w:val="24"/>
          <w:szCs w:val="24"/>
          <w:lang w:val="en-US" w:eastAsia="zh-CN"/>
        </w:rPr>
        <w:t>A</w:t>
      </w:r>
    </w:p>
    <w:p w14:paraId="282BA563">
      <w:pPr>
        <w:spacing w:line="360" w:lineRule="auto"/>
        <w:rPr>
          <w:rFonts w:hint="default"/>
          <w:sz w:val="24"/>
          <w:szCs w:val="24"/>
        </w:rPr>
      </w:pPr>
      <w:r>
        <w:rPr>
          <w:rFonts w:hint="default"/>
          <w:sz w:val="24"/>
          <w:szCs w:val="24"/>
        </w:rPr>
        <w:t>After completing the single</w:t>
      </w:r>
      <w:r>
        <w:rPr>
          <w:rFonts w:hint="default"/>
          <w:sz w:val="24"/>
          <w:szCs w:val="24"/>
        </w:rPr>
        <w:noBreakHyphen/>
      </w:r>
      <w:r>
        <w:rPr>
          <w:rFonts w:hint="default"/>
          <w:sz w:val="24"/>
          <w:szCs w:val="24"/>
        </w:rPr>
        <w:t xml:space="preserve">arm Phase II trial, if the confirmed ORR is ≥35%, the median DoR is ≥6 months, and the safety profile is acceptable , then </w:t>
      </w:r>
      <w:r>
        <w:rPr>
          <w:rFonts w:hint="eastAsia"/>
          <w:sz w:val="24"/>
          <w:szCs w:val="24"/>
          <w:lang w:val="en-US" w:eastAsia="zh-CN"/>
        </w:rPr>
        <w:t>can apply</w:t>
      </w:r>
      <w:r>
        <w:rPr>
          <w:rFonts w:hint="default"/>
          <w:sz w:val="24"/>
          <w:szCs w:val="24"/>
        </w:rPr>
        <w:t xml:space="preserve"> AA. P</w:t>
      </w:r>
      <w:r>
        <w:rPr>
          <w:rFonts w:hint="eastAsia"/>
          <w:sz w:val="24"/>
          <w:szCs w:val="24"/>
          <w:lang w:val="en-US" w:eastAsia="zh-CN"/>
        </w:rPr>
        <w:t>R</w:t>
      </w:r>
      <w:r>
        <w:rPr>
          <w:rFonts w:hint="default"/>
          <w:sz w:val="24"/>
          <w:szCs w:val="24"/>
        </w:rPr>
        <w:t xml:space="preserve"> and F</w:t>
      </w:r>
      <w:r>
        <w:rPr>
          <w:rFonts w:hint="eastAsia"/>
          <w:sz w:val="24"/>
          <w:szCs w:val="24"/>
          <w:lang w:val="en-US" w:eastAsia="zh-CN"/>
        </w:rPr>
        <w:t>T</w:t>
      </w:r>
      <w:r>
        <w:rPr>
          <w:rFonts w:hint="default"/>
          <w:sz w:val="24"/>
          <w:szCs w:val="24"/>
        </w:rPr>
        <w:t xml:space="preserve"> could also be stacked on top, allowing rolling submissions to compress the review timeline.</w:t>
      </w:r>
    </w:p>
    <w:p w14:paraId="4D082CDC">
      <w:pPr>
        <w:spacing w:line="360" w:lineRule="auto"/>
        <w:rPr>
          <w:rFonts w:hint="default"/>
          <w:sz w:val="24"/>
          <w:szCs w:val="24"/>
        </w:rPr>
      </w:pPr>
    </w:p>
    <w:p w14:paraId="10BFFA61">
      <w:pPr>
        <w:numPr>
          <w:ilvl w:val="2"/>
          <w:numId w:val="1"/>
        </w:numPr>
        <w:spacing w:line="360" w:lineRule="auto"/>
        <w:ind w:left="0" w:leftChars="0" w:firstLine="0" w:firstLineChars="0"/>
        <w:rPr>
          <w:rFonts w:hint="default"/>
          <w:b/>
          <w:bCs/>
          <w:sz w:val="24"/>
          <w:szCs w:val="24"/>
        </w:rPr>
      </w:pPr>
      <w:r>
        <w:rPr>
          <w:rFonts w:hint="default"/>
          <w:b/>
          <w:bCs/>
          <w:sz w:val="24"/>
          <w:szCs w:val="24"/>
        </w:rPr>
        <w:t>Post</w:t>
      </w:r>
      <w:r>
        <w:rPr>
          <w:rFonts w:hint="default"/>
          <w:b/>
          <w:bCs/>
          <w:sz w:val="24"/>
          <w:szCs w:val="24"/>
        </w:rPr>
        <w:noBreakHyphen/>
      </w:r>
      <w:r>
        <w:rPr>
          <w:rFonts w:hint="default"/>
          <w:b/>
          <w:bCs/>
          <w:sz w:val="24"/>
          <w:szCs w:val="24"/>
        </w:rPr>
        <w:t>marketing confirmatory trial</w:t>
      </w:r>
    </w:p>
    <w:p w14:paraId="72E254B3">
      <w:pPr>
        <w:spacing w:line="360" w:lineRule="auto"/>
        <w:rPr>
          <w:rFonts w:hint="default"/>
          <w:sz w:val="24"/>
          <w:szCs w:val="24"/>
        </w:rPr>
      </w:pPr>
      <w:r>
        <w:rPr>
          <w:rFonts w:hint="default"/>
          <w:sz w:val="24"/>
          <w:szCs w:val="24"/>
        </w:rPr>
        <w:t>After approval, a confirmatory trial would be conducted in the same patient population, with PFS as the primary endpoint and OS as a key secondary endpoint. Before finishing Phase II, a meeting with the FDA would be held to align on the population, endpoints, and confirmatory trial design, thereby reducing regulatory risk.</w:t>
      </w:r>
      <w:r>
        <w:rPr>
          <w:rFonts w:hint="eastAsia"/>
          <w:sz w:val="24"/>
          <w:szCs w:val="24"/>
          <w:lang w:val="en-US" w:eastAsia="zh-CN"/>
        </w:rPr>
        <w:t xml:space="preserve"> </w:t>
      </w:r>
      <w:r>
        <w:rPr>
          <w:rFonts w:hint="default"/>
          <w:sz w:val="24"/>
          <w:szCs w:val="24"/>
        </w:rPr>
        <w:t>If the confirmatory trial fails, a withdrawal procedure would be initiated.</w:t>
      </w:r>
    </w:p>
    <w:p w14:paraId="124E15B7">
      <w:pPr>
        <w:spacing w:line="360" w:lineRule="auto"/>
        <w:rPr>
          <w:rFonts w:hint="default"/>
          <w:sz w:val="24"/>
          <w:szCs w:val="24"/>
        </w:rPr>
      </w:pPr>
    </w:p>
    <w:p w14:paraId="5EF14431">
      <w:pPr>
        <w:numPr>
          <w:ilvl w:val="2"/>
          <w:numId w:val="1"/>
        </w:numPr>
        <w:spacing w:line="360" w:lineRule="auto"/>
        <w:ind w:left="0" w:leftChars="0" w:firstLine="0" w:firstLineChars="0"/>
        <w:rPr>
          <w:rFonts w:hint="default"/>
          <w:b/>
          <w:bCs/>
          <w:sz w:val="24"/>
          <w:szCs w:val="24"/>
        </w:rPr>
      </w:pPr>
      <w:r>
        <w:rPr>
          <w:rFonts w:hint="default"/>
          <w:b/>
          <w:bCs/>
          <w:sz w:val="24"/>
          <w:szCs w:val="24"/>
        </w:rPr>
        <w:t>Advantages and risks</w:t>
      </w:r>
    </w:p>
    <w:p w14:paraId="03F9197A">
      <w:pPr>
        <w:spacing w:line="360" w:lineRule="auto"/>
        <w:rPr>
          <w:rFonts w:hint="default"/>
          <w:sz w:val="24"/>
          <w:szCs w:val="24"/>
        </w:rPr>
      </w:pPr>
      <w:r>
        <w:rPr>
          <w:rFonts w:hint="default"/>
          <w:sz w:val="24"/>
          <w:szCs w:val="24"/>
        </w:rPr>
        <w:t>Advantages: Time to market could be shortened; R&amp;D costs could be reduced; and the strategy fully leverages FDA's AA</w:t>
      </w:r>
      <w:r>
        <w:rPr>
          <w:rFonts w:hint="eastAsia"/>
          <w:sz w:val="24"/>
          <w:szCs w:val="24"/>
          <w:lang w:val="en-US" w:eastAsia="zh-CN"/>
        </w:rPr>
        <w:t xml:space="preserve"> </w:t>
      </w:r>
      <w:r>
        <w:rPr>
          <w:rFonts w:hint="default"/>
          <w:sz w:val="24"/>
          <w:szCs w:val="24"/>
        </w:rPr>
        <w:t>and F</w:t>
      </w:r>
      <w:r>
        <w:rPr>
          <w:rFonts w:hint="eastAsia"/>
          <w:sz w:val="24"/>
          <w:szCs w:val="24"/>
          <w:lang w:val="en-US" w:eastAsia="zh-CN"/>
        </w:rPr>
        <w:t>T</w:t>
      </w:r>
      <w:r>
        <w:rPr>
          <w:rFonts w:hint="default"/>
          <w:sz w:val="24"/>
          <w:szCs w:val="24"/>
        </w:rPr>
        <w:t xml:space="preserve"> mechanisms.</w:t>
      </w:r>
    </w:p>
    <w:p w14:paraId="456CD4B1">
      <w:pPr>
        <w:spacing w:line="360" w:lineRule="auto"/>
        <w:rPr>
          <w:rFonts w:hint="default"/>
          <w:sz w:val="24"/>
          <w:szCs w:val="24"/>
        </w:rPr>
      </w:pPr>
    </w:p>
    <w:p w14:paraId="43E37BB6">
      <w:pPr>
        <w:spacing w:line="360" w:lineRule="auto"/>
        <w:rPr>
          <w:rFonts w:hint="default"/>
          <w:sz w:val="24"/>
          <w:szCs w:val="24"/>
        </w:rPr>
      </w:pPr>
      <w:r>
        <w:rPr>
          <w:rFonts w:hint="default"/>
          <w:sz w:val="24"/>
          <w:szCs w:val="24"/>
        </w:rPr>
        <w:t>Risks: Single</w:t>
      </w:r>
      <w:r>
        <w:rPr>
          <w:rFonts w:hint="default"/>
          <w:sz w:val="24"/>
          <w:szCs w:val="24"/>
        </w:rPr>
        <w:noBreakHyphen/>
      </w:r>
      <w:r>
        <w:rPr>
          <w:rFonts w:hint="default"/>
          <w:sz w:val="24"/>
          <w:szCs w:val="24"/>
        </w:rPr>
        <w:t xml:space="preserve">arm trials lack a randomized control and may overestimate efficacy; if the confirmatory trial fails after </w:t>
      </w:r>
      <w:r>
        <w:rPr>
          <w:rFonts w:hint="eastAsia"/>
          <w:sz w:val="24"/>
          <w:szCs w:val="24"/>
          <w:lang w:val="en-US" w:eastAsia="zh-CN"/>
        </w:rPr>
        <w:t>AA</w:t>
      </w:r>
      <w:r>
        <w:rPr>
          <w:rFonts w:hint="default"/>
          <w:sz w:val="24"/>
          <w:szCs w:val="24"/>
        </w:rPr>
        <w:t>, the approval may be withdrawn; and changes in regulatory policy could introduce uncertainty.</w:t>
      </w:r>
    </w:p>
    <w:p w14:paraId="27BC49F0">
      <w:pPr>
        <w:spacing w:line="360" w:lineRule="auto"/>
        <w:rPr>
          <w:rFonts w:hint="default"/>
          <w:sz w:val="24"/>
          <w:szCs w:val="24"/>
        </w:rPr>
      </w:pPr>
    </w:p>
    <w:p w14:paraId="01F8E199">
      <w:pPr>
        <w:numPr>
          <w:ilvl w:val="0"/>
          <w:numId w:val="1"/>
        </w:numPr>
        <w:spacing w:line="360" w:lineRule="auto"/>
        <w:ind w:left="0" w:leftChars="0" w:firstLine="0" w:firstLineChars="0"/>
        <w:rPr>
          <w:rFonts w:hint="default"/>
          <w:sz w:val="24"/>
          <w:szCs w:val="24"/>
        </w:rPr>
      </w:pPr>
      <w:r>
        <w:rPr>
          <w:rFonts w:hint="default"/>
          <w:b/>
          <w:bCs/>
          <w:sz w:val="24"/>
          <w:szCs w:val="24"/>
        </w:rPr>
        <w:t>Bonus</w:t>
      </w:r>
      <w:r>
        <w:rPr>
          <w:rFonts w:hint="default"/>
          <w:sz w:val="24"/>
          <w:szCs w:val="24"/>
        </w:rPr>
        <w:br w:type="textWrapping"/>
      </w:r>
      <w:r>
        <w:rPr>
          <w:rFonts w:hint="default"/>
          <w:b/>
          <w:bCs/>
          <w:sz w:val="24"/>
          <w:szCs w:val="24"/>
        </w:rPr>
        <w:t>6.1 Evaluate dose optimization addressed</w:t>
      </w:r>
    </w:p>
    <w:p w14:paraId="0CC9B91C">
      <w:pPr>
        <w:spacing w:line="360" w:lineRule="auto"/>
        <w:rPr>
          <w:rFonts w:hint="default"/>
          <w:sz w:val="24"/>
          <w:szCs w:val="24"/>
        </w:rPr>
      </w:pPr>
      <w:r>
        <w:rPr>
          <w:rFonts w:hint="default"/>
          <w:sz w:val="24"/>
          <w:szCs w:val="24"/>
        </w:rPr>
        <w:t>Dato</w:t>
      </w:r>
      <w:r>
        <w:rPr>
          <w:rFonts w:hint="default"/>
          <w:sz w:val="24"/>
          <w:szCs w:val="24"/>
        </w:rPr>
        <w:noBreakHyphen/>
      </w:r>
      <w:r>
        <w:rPr>
          <w:rFonts w:hint="default"/>
          <w:sz w:val="24"/>
          <w:szCs w:val="24"/>
        </w:rPr>
        <w:t>DXd's dose selection strategy was already quite sound by conventional standards. However, when measured against the stricter criteria of Project Optimus, there is still some room for improvement.</w:t>
      </w:r>
    </w:p>
    <w:p w14:paraId="7F0D96A4">
      <w:pPr>
        <w:spacing w:line="360" w:lineRule="auto"/>
        <w:rPr>
          <w:rFonts w:hint="default"/>
          <w:sz w:val="24"/>
          <w:szCs w:val="24"/>
        </w:rPr>
      </w:pPr>
    </w:p>
    <w:p w14:paraId="7190838E">
      <w:pPr>
        <w:spacing w:line="360" w:lineRule="auto"/>
        <w:rPr>
          <w:rFonts w:hint="default"/>
          <w:b/>
          <w:bCs/>
          <w:sz w:val="24"/>
          <w:szCs w:val="24"/>
        </w:rPr>
      </w:pPr>
      <w:r>
        <w:rPr>
          <w:rFonts w:hint="default"/>
          <w:b/>
          <w:bCs/>
          <w:sz w:val="24"/>
          <w:szCs w:val="24"/>
        </w:rPr>
        <w:t>Dose exploration and selection:</w:t>
      </w:r>
    </w:p>
    <w:p w14:paraId="7D8AF121">
      <w:pPr>
        <w:spacing w:line="360" w:lineRule="auto"/>
        <w:rPr>
          <w:rFonts w:hint="eastAsia"/>
          <w:sz w:val="24"/>
          <w:szCs w:val="24"/>
          <w:lang w:val="en-US" w:eastAsia="zh-CN"/>
        </w:rPr>
      </w:pPr>
      <w:r>
        <w:rPr>
          <w:rFonts w:hint="eastAsia"/>
          <w:sz w:val="24"/>
          <w:szCs w:val="24"/>
          <w:lang w:val="en-US" w:eastAsia="zh-CN"/>
        </w:rPr>
        <w:t xml:space="preserve">According to </w:t>
      </w:r>
      <w:r>
        <w:rPr>
          <w:rFonts w:hint="default"/>
          <w:sz w:val="24"/>
          <w:szCs w:val="24"/>
        </w:rPr>
        <w:t>multi</w:t>
      </w:r>
      <w:r>
        <w:rPr>
          <w:rFonts w:hint="default"/>
          <w:sz w:val="24"/>
          <w:szCs w:val="24"/>
        </w:rPr>
        <w:noBreakHyphen/>
      </w:r>
      <w:r>
        <w:rPr>
          <w:rFonts w:hint="default"/>
          <w:sz w:val="24"/>
          <w:szCs w:val="24"/>
        </w:rPr>
        <w:t>discipline review report</w:t>
      </w:r>
      <w:r>
        <w:rPr>
          <w:rFonts w:hint="eastAsia"/>
          <w:sz w:val="24"/>
          <w:szCs w:val="24"/>
          <w:lang w:val="en-US" w:eastAsia="zh-CN"/>
        </w:rPr>
        <w:t xml:space="preserve"> (U.S. Food and Drug Administration, 2024b).</w:t>
      </w:r>
    </w:p>
    <w:p w14:paraId="1E02254B">
      <w:pPr>
        <w:spacing w:line="360" w:lineRule="auto"/>
        <w:rPr>
          <w:rFonts w:hint="eastAsia"/>
          <w:sz w:val="24"/>
          <w:szCs w:val="24"/>
          <w:lang w:val="en-US" w:eastAsia="zh-CN"/>
        </w:rPr>
      </w:pPr>
    </w:p>
    <w:p w14:paraId="2772EFF4">
      <w:pPr>
        <w:spacing w:line="360" w:lineRule="auto"/>
        <w:rPr>
          <w:rFonts w:hint="default"/>
          <w:sz w:val="24"/>
          <w:szCs w:val="24"/>
        </w:rPr>
      </w:pPr>
      <w:r>
        <w:rPr>
          <w:rFonts w:hint="default"/>
          <w:sz w:val="24"/>
          <w:szCs w:val="24"/>
        </w:rPr>
        <w:t>In the Phase I TROPION</w:t>
      </w:r>
      <w:r>
        <w:rPr>
          <w:rFonts w:hint="default"/>
          <w:sz w:val="24"/>
          <w:szCs w:val="24"/>
        </w:rPr>
        <w:noBreakHyphen/>
      </w:r>
      <w:r>
        <w:rPr>
          <w:rFonts w:hint="default"/>
          <w:sz w:val="24"/>
          <w:szCs w:val="24"/>
        </w:rPr>
        <w:t>PanTumor01 trial, Dato</w:t>
      </w:r>
      <w:r>
        <w:rPr>
          <w:rFonts w:hint="default"/>
          <w:sz w:val="24"/>
          <w:szCs w:val="24"/>
        </w:rPr>
        <w:noBreakHyphen/>
      </w:r>
      <w:r>
        <w:rPr>
          <w:rFonts w:hint="default"/>
          <w:sz w:val="24"/>
          <w:szCs w:val="24"/>
        </w:rPr>
        <w:t>DXd was studied over a broad dose range of 0.27–10 mg/kg (every 3 weeks) in both dose</w:t>
      </w:r>
      <w:r>
        <w:rPr>
          <w:rFonts w:hint="default"/>
          <w:sz w:val="24"/>
          <w:szCs w:val="24"/>
        </w:rPr>
        <w:noBreakHyphen/>
      </w:r>
      <w:r>
        <w:rPr>
          <w:rFonts w:hint="default"/>
          <w:sz w:val="24"/>
          <w:szCs w:val="24"/>
        </w:rPr>
        <w:t>escalation and dose</w:t>
      </w:r>
      <w:r>
        <w:rPr>
          <w:rFonts w:hint="default"/>
          <w:sz w:val="24"/>
          <w:szCs w:val="24"/>
        </w:rPr>
        <w:noBreakHyphen/>
      </w:r>
      <w:r>
        <w:rPr>
          <w:rFonts w:hint="default"/>
          <w:sz w:val="24"/>
          <w:szCs w:val="24"/>
        </w:rPr>
        <w:t>expansion phases. During the dose</w:t>
      </w:r>
      <w:r>
        <w:rPr>
          <w:rFonts w:hint="default"/>
          <w:sz w:val="24"/>
          <w:szCs w:val="24"/>
        </w:rPr>
        <w:noBreakHyphen/>
      </w:r>
      <w:r>
        <w:rPr>
          <w:rFonts w:hint="default"/>
          <w:sz w:val="24"/>
          <w:szCs w:val="24"/>
        </w:rPr>
        <w:t>expansion part, patients in the NSCLC cohort received Dato</w:t>
      </w:r>
      <w:r>
        <w:rPr>
          <w:rFonts w:hint="default"/>
          <w:sz w:val="24"/>
          <w:szCs w:val="24"/>
        </w:rPr>
        <w:noBreakHyphen/>
      </w:r>
      <w:r>
        <w:rPr>
          <w:rFonts w:hint="default"/>
          <w:sz w:val="24"/>
          <w:szCs w:val="24"/>
        </w:rPr>
        <w:t>DXd at 4 mg/kg, 6 mg/kg, or 8 mg/kg</w:t>
      </w:r>
    </w:p>
    <w:p w14:paraId="73A1BA54">
      <w:pPr>
        <w:spacing w:line="360" w:lineRule="auto"/>
        <w:rPr>
          <w:rFonts w:hint="eastAsia"/>
          <w:sz w:val="24"/>
          <w:szCs w:val="24"/>
          <w:lang w:val="en-US" w:eastAsia="zh-CN"/>
        </w:rPr>
      </w:pPr>
    </w:p>
    <w:p w14:paraId="709512EE">
      <w:pPr>
        <w:spacing w:line="360" w:lineRule="auto"/>
        <w:rPr>
          <w:rFonts w:hint="default"/>
          <w:sz w:val="24"/>
          <w:szCs w:val="24"/>
        </w:rPr>
      </w:pPr>
      <w:r>
        <w:rPr>
          <w:rFonts w:hint="default"/>
          <w:sz w:val="24"/>
          <w:szCs w:val="24"/>
        </w:rPr>
        <w:t xml:space="preserve">The sponsor did not blindly choose the MTD (8 mg/kg). </w:t>
      </w:r>
      <w:r>
        <w:rPr>
          <w:rFonts w:hint="eastAsia"/>
          <w:sz w:val="24"/>
          <w:szCs w:val="24"/>
          <w:lang w:val="en-US" w:eastAsia="zh-CN"/>
        </w:rPr>
        <w:t>T</w:t>
      </w:r>
      <w:r>
        <w:rPr>
          <w:rFonts w:hint="default"/>
          <w:sz w:val="24"/>
          <w:szCs w:val="24"/>
        </w:rPr>
        <w:t>hey performed a systematic comparison: 8 mg/kg gave the strongest efficacy but higher toxicity and was intolerable; 4 mg/kg was best tolerated but had insufficient efficacy; 6 mg/kg was clearly identified by the FDA as the highest tolerable dose that provided an acceptable benefit</w:t>
      </w:r>
      <w:r>
        <w:rPr>
          <w:rFonts w:hint="default"/>
          <w:sz w:val="24"/>
          <w:szCs w:val="24"/>
        </w:rPr>
        <w:noBreakHyphen/>
      </w:r>
      <w:r>
        <w:rPr>
          <w:rFonts w:hint="default"/>
          <w:sz w:val="24"/>
          <w:szCs w:val="24"/>
        </w:rPr>
        <w:t>risk profile. Moreover, exposure</w:t>
      </w:r>
      <w:r>
        <w:rPr>
          <w:rFonts w:hint="default"/>
          <w:sz w:val="24"/>
          <w:szCs w:val="24"/>
        </w:rPr>
        <w:noBreakHyphen/>
      </w:r>
      <w:r>
        <w:rPr>
          <w:rFonts w:hint="default"/>
          <w:sz w:val="24"/>
          <w:szCs w:val="24"/>
        </w:rPr>
        <w:t>response analysis showed a positive correlation between Dato</w:t>
      </w:r>
      <w:r>
        <w:rPr>
          <w:rFonts w:hint="default"/>
          <w:sz w:val="24"/>
          <w:szCs w:val="24"/>
        </w:rPr>
        <w:noBreakHyphen/>
      </w:r>
      <w:r>
        <w:rPr>
          <w:rFonts w:hint="default"/>
          <w:sz w:val="24"/>
          <w:szCs w:val="24"/>
        </w:rPr>
        <w:t>DXd exposure and ocular surface toxicity (OST). As a result, the FDA recommended a dose cap of 540 mg for patients weighing ≥90 kg (U.S. Food and Drug Administration, 2024c).</w:t>
      </w:r>
    </w:p>
    <w:p w14:paraId="47359EB1">
      <w:pPr>
        <w:spacing w:line="360" w:lineRule="auto"/>
        <w:rPr>
          <w:rFonts w:hint="default"/>
          <w:sz w:val="24"/>
          <w:szCs w:val="24"/>
        </w:rPr>
      </w:pPr>
    </w:p>
    <w:p w14:paraId="13472628">
      <w:pPr>
        <w:spacing w:line="360" w:lineRule="auto"/>
        <w:rPr>
          <w:rFonts w:hint="default"/>
          <w:sz w:val="24"/>
          <w:szCs w:val="24"/>
        </w:rPr>
      </w:pPr>
      <w:r>
        <w:rPr>
          <w:rFonts w:hint="default"/>
          <w:b/>
          <w:bCs/>
          <w:sz w:val="24"/>
          <w:szCs w:val="24"/>
        </w:rPr>
        <w:t>Methodological support:</w:t>
      </w:r>
      <w:r>
        <w:rPr>
          <w:rFonts w:hint="default"/>
          <w:sz w:val="24"/>
          <w:szCs w:val="24"/>
        </w:rPr>
        <w:br w:type="textWrapping"/>
      </w:r>
      <w:r>
        <w:rPr>
          <w:rFonts w:hint="default"/>
          <w:sz w:val="24"/>
          <w:szCs w:val="24"/>
        </w:rPr>
        <w:t>The sponsor used a model</w:t>
      </w:r>
      <w:r>
        <w:rPr>
          <w:rFonts w:hint="default"/>
          <w:sz w:val="24"/>
          <w:szCs w:val="24"/>
        </w:rPr>
        <w:noBreakHyphen/>
      </w:r>
      <w:r>
        <w:rPr>
          <w:rFonts w:hint="default"/>
          <w:sz w:val="24"/>
          <w:szCs w:val="24"/>
        </w:rPr>
        <w:t>informed drug development (MIDD) approach, integrating population PK and exposure</w:t>
      </w:r>
      <w:r>
        <w:rPr>
          <w:rFonts w:hint="default"/>
          <w:sz w:val="24"/>
          <w:szCs w:val="24"/>
        </w:rPr>
        <w:noBreakHyphen/>
      </w:r>
      <w:r>
        <w:rPr>
          <w:rFonts w:hint="default"/>
          <w:sz w:val="24"/>
          <w:szCs w:val="24"/>
        </w:rPr>
        <w:t>response analyses to demonstrate that exposure was positively correlated with several safety endpoints, supporting the choice of 6 mg/kg (U.S. Food and Drug Administration, 2024b).</w:t>
      </w:r>
    </w:p>
    <w:p w14:paraId="2AF210C2">
      <w:pPr>
        <w:spacing w:line="360" w:lineRule="auto"/>
        <w:rPr>
          <w:rFonts w:hint="default"/>
          <w:sz w:val="24"/>
          <w:szCs w:val="24"/>
        </w:rPr>
      </w:pPr>
    </w:p>
    <w:p w14:paraId="64B29D54">
      <w:pPr>
        <w:spacing w:line="360" w:lineRule="auto"/>
        <w:rPr>
          <w:rFonts w:hint="default"/>
          <w:b/>
          <w:bCs/>
          <w:sz w:val="24"/>
          <w:szCs w:val="24"/>
        </w:rPr>
      </w:pPr>
      <w:r>
        <w:rPr>
          <w:rFonts w:hint="default"/>
          <w:b/>
          <w:bCs/>
          <w:sz w:val="24"/>
          <w:szCs w:val="24"/>
        </w:rPr>
        <w:t>Major gaps by Project Optimus standards:</w:t>
      </w:r>
    </w:p>
    <w:p w14:paraId="1E99EB70">
      <w:pPr>
        <w:spacing w:line="360" w:lineRule="auto"/>
        <w:rPr>
          <w:rFonts w:hint="default"/>
          <w:sz w:val="24"/>
          <w:szCs w:val="24"/>
        </w:rPr>
      </w:pPr>
      <w:r>
        <w:rPr>
          <w:rFonts w:hint="eastAsia"/>
          <w:sz w:val="24"/>
          <w:szCs w:val="24"/>
          <w:lang w:val="en-US" w:eastAsia="zh-CN"/>
        </w:rPr>
        <w:t>U</w:t>
      </w:r>
      <w:r>
        <w:rPr>
          <w:rFonts w:hint="default"/>
          <w:sz w:val="24"/>
          <w:szCs w:val="24"/>
        </w:rPr>
        <w:t>nder Project Optimus criteria</w:t>
      </w:r>
      <w:r>
        <w:rPr>
          <w:rFonts w:hint="eastAsia"/>
          <w:sz w:val="24"/>
          <w:szCs w:val="24"/>
          <w:lang w:val="en-US" w:eastAsia="zh-CN"/>
        </w:rPr>
        <w:t>,</w:t>
      </w:r>
      <w:r>
        <w:rPr>
          <w:rFonts w:hint="default"/>
          <w:sz w:val="24"/>
          <w:szCs w:val="24"/>
        </w:rPr>
        <w:t xml:space="preserve"> it still has the following gaps: dose selection was based primarily on non</w:t>
      </w:r>
      <w:r>
        <w:rPr>
          <w:rFonts w:hint="default"/>
          <w:sz w:val="24"/>
          <w:szCs w:val="24"/>
        </w:rPr>
        <w:noBreakHyphen/>
      </w:r>
      <w:r>
        <w:rPr>
          <w:rFonts w:hint="default"/>
          <w:sz w:val="24"/>
          <w:szCs w:val="24"/>
        </w:rPr>
        <w:t>randomized exploration in Phase I and model simulations, without simultaneously including a low</w:t>
      </w:r>
      <w:r>
        <w:rPr>
          <w:rFonts w:hint="default"/>
          <w:sz w:val="24"/>
          <w:szCs w:val="24"/>
        </w:rPr>
        <w:noBreakHyphen/>
      </w:r>
      <w:r>
        <w:rPr>
          <w:rFonts w:hint="default"/>
          <w:sz w:val="24"/>
          <w:szCs w:val="24"/>
        </w:rPr>
        <w:t>dose randomized arm for head</w:t>
      </w:r>
      <w:r>
        <w:rPr>
          <w:rFonts w:hint="default"/>
          <w:sz w:val="24"/>
          <w:szCs w:val="24"/>
        </w:rPr>
        <w:noBreakHyphen/>
      </w:r>
      <w:r>
        <w:rPr>
          <w:rFonts w:hint="default"/>
          <w:sz w:val="24"/>
          <w:szCs w:val="24"/>
        </w:rPr>
        <w:t>to</w:t>
      </w:r>
      <w:r>
        <w:rPr>
          <w:rFonts w:hint="default"/>
          <w:sz w:val="24"/>
          <w:szCs w:val="24"/>
        </w:rPr>
        <w:noBreakHyphen/>
      </w:r>
      <w:r>
        <w:rPr>
          <w:rFonts w:hint="default"/>
          <w:sz w:val="24"/>
          <w:szCs w:val="24"/>
        </w:rPr>
        <w:t>head comparison. In addition, dose optimization was largely locked in early stages; once the drug entered Phase III, only a single dose (6 mg/kg) was tested, and no further optimization was pursued in later phases.</w:t>
      </w:r>
    </w:p>
    <w:p w14:paraId="3FC4431C">
      <w:pPr>
        <w:spacing w:line="360" w:lineRule="auto"/>
        <w:rPr>
          <w:rFonts w:hint="default"/>
          <w:sz w:val="24"/>
          <w:szCs w:val="24"/>
        </w:rPr>
      </w:pPr>
    </w:p>
    <w:p w14:paraId="35F0D5DD">
      <w:pPr>
        <w:spacing w:line="360" w:lineRule="auto"/>
        <w:rPr>
          <w:rFonts w:hint="default"/>
          <w:sz w:val="24"/>
          <w:szCs w:val="24"/>
        </w:rPr>
      </w:pPr>
      <w:r>
        <w:rPr>
          <w:rFonts w:hint="default"/>
          <w:b/>
          <w:bCs/>
          <w:sz w:val="24"/>
          <w:szCs w:val="24"/>
        </w:rPr>
        <w:t>6.2</w:t>
      </w:r>
      <w:r>
        <w:rPr>
          <w:rFonts w:hint="eastAsia"/>
          <w:b/>
          <w:bCs/>
          <w:sz w:val="24"/>
          <w:szCs w:val="24"/>
          <w:lang w:val="en-US" w:eastAsia="zh-CN"/>
        </w:rPr>
        <w:t xml:space="preserve">. </w:t>
      </w:r>
      <w:r>
        <w:rPr>
          <w:rFonts w:hint="default"/>
          <w:b/>
          <w:bCs/>
          <w:sz w:val="24"/>
          <w:szCs w:val="24"/>
        </w:rPr>
        <w:t>Improvement strategy</w:t>
      </w:r>
    </w:p>
    <w:p w14:paraId="4E23ED5A">
      <w:pPr>
        <w:spacing w:line="360" w:lineRule="auto"/>
        <w:rPr>
          <w:rFonts w:hint="default"/>
          <w:sz w:val="24"/>
          <w:szCs w:val="24"/>
        </w:rPr>
      </w:pPr>
      <w:r>
        <w:rPr>
          <w:rFonts w:hint="default"/>
          <w:sz w:val="24"/>
          <w:szCs w:val="24"/>
        </w:rPr>
        <w:t>Conduct a randomized dose</w:t>
      </w:r>
      <w:r>
        <w:rPr>
          <w:rFonts w:hint="default"/>
          <w:sz w:val="24"/>
          <w:szCs w:val="24"/>
        </w:rPr>
        <w:noBreakHyphen/>
      </w:r>
      <w:r>
        <w:rPr>
          <w:rFonts w:hint="default"/>
          <w:sz w:val="24"/>
          <w:szCs w:val="24"/>
        </w:rPr>
        <w:t>comparison trial in Phase II: After identifying candidate doses from TROPION</w:t>
      </w:r>
      <w:r>
        <w:rPr>
          <w:rFonts w:hint="default"/>
          <w:sz w:val="24"/>
          <w:szCs w:val="24"/>
        </w:rPr>
        <w:noBreakHyphen/>
      </w:r>
      <w:r>
        <w:rPr>
          <w:rFonts w:hint="default"/>
          <w:sz w:val="24"/>
          <w:szCs w:val="24"/>
        </w:rPr>
        <w:t>PanTumor01, design a randomized Phase II trial that assigns patients to three arms – 4 mg/kg, 6 mg/kg, and 8 mg/kg – to directly compare ORR, DoR, and safety profiles across doses.</w:t>
      </w:r>
    </w:p>
    <w:p w14:paraId="6366419A">
      <w:pPr>
        <w:spacing w:line="360" w:lineRule="auto"/>
        <w:rPr>
          <w:rFonts w:hint="default"/>
          <w:sz w:val="24"/>
          <w:szCs w:val="24"/>
        </w:rPr>
      </w:pPr>
    </w:p>
    <w:p w14:paraId="07A2879B">
      <w:pPr>
        <w:spacing w:line="360" w:lineRule="auto"/>
        <w:rPr>
          <w:rFonts w:hint="default"/>
          <w:sz w:val="24"/>
          <w:szCs w:val="24"/>
        </w:rPr>
      </w:pPr>
      <w:r>
        <w:rPr>
          <w:rFonts w:hint="default"/>
          <w:sz w:val="24"/>
          <w:szCs w:val="24"/>
        </w:rPr>
        <w:t>Include multiple doses or use an adaptive design in the registration trial: If the randomized Phase II comparison shows that 5 mg/kg or 4 mg/kg is non</w:t>
      </w:r>
      <w:r>
        <w:rPr>
          <w:rFonts w:hint="default"/>
          <w:sz w:val="24"/>
          <w:szCs w:val="24"/>
        </w:rPr>
        <w:noBreakHyphen/>
      </w:r>
      <w:r>
        <w:rPr>
          <w:rFonts w:hint="default"/>
          <w:sz w:val="24"/>
          <w:szCs w:val="24"/>
        </w:rPr>
        <w:t>inferior in efficacy and has better tolerability, that dose could be added as a third arm in the Phase III trial.</w:t>
      </w:r>
    </w:p>
    <w:p w14:paraId="17F80059">
      <w:pPr>
        <w:spacing w:line="360" w:lineRule="auto"/>
        <w:rPr>
          <w:rFonts w:hint="default"/>
          <w:sz w:val="24"/>
          <w:szCs w:val="24"/>
        </w:rPr>
      </w:pPr>
    </w:p>
    <w:p w14:paraId="7BAA4FEE">
      <w:pPr>
        <w:spacing w:line="360" w:lineRule="auto"/>
        <w:rPr>
          <w:rFonts w:hint="default"/>
          <w:sz w:val="24"/>
          <w:szCs w:val="24"/>
        </w:rPr>
      </w:pPr>
    </w:p>
    <w:p w14:paraId="7C6AAA9A">
      <w:pPr>
        <w:spacing w:line="360" w:lineRule="auto"/>
        <w:rPr>
          <w:rFonts w:hint="default"/>
          <w:sz w:val="24"/>
          <w:szCs w:val="24"/>
        </w:rPr>
      </w:pPr>
    </w:p>
    <w:p w14:paraId="7B3C1D18">
      <w:pPr>
        <w:spacing w:line="360" w:lineRule="auto"/>
        <w:rPr>
          <w:rFonts w:hint="default"/>
          <w:sz w:val="24"/>
          <w:szCs w:val="24"/>
        </w:rPr>
      </w:pPr>
    </w:p>
    <w:p w14:paraId="49ECD740">
      <w:pPr>
        <w:spacing w:line="360" w:lineRule="auto"/>
        <w:rPr>
          <w:rFonts w:hint="default"/>
          <w:sz w:val="24"/>
          <w:szCs w:val="24"/>
        </w:rPr>
      </w:pPr>
    </w:p>
    <w:p w14:paraId="5E580F1F">
      <w:pPr>
        <w:spacing w:line="360" w:lineRule="auto"/>
        <w:rPr>
          <w:rFonts w:hint="default"/>
          <w:sz w:val="24"/>
          <w:szCs w:val="24"/>
        </w:rPr>
      </w:pPr>
    </w:p>
    <w:p w14:paraId="3DF113FA">
      <w:pPr>
        <w:spacing w:line="360" w:lineRule="auto"/>
        <w:rPr>
          <w:rFonts w:hint="default"/>
          <w:sz w:val="24"/>
          <w:szCs w:val="24"/>
        </w:rPr>
      </w:pPr>
    </w:p>
    <w:p w14:paraId="0895F672">
      <w:pPr>
        <w:spacing w:line="360" w:lineRule="auto"/>
        <w:rPr>
          <w:rFonts w:hint="default"/>
          <w:sz w:val="24"/>
          <w:szCs w:val="24"/>
        </w:rPr>
      </w:pPr>
    </w:p>
    <w:p w14:paraId="13E4F152">
      <w:pPr>
        <w:spacing w:line="360" w:lineRule="auto"/>
        <w:rPr>
          <w:rFonts w:hint="eastAsia"/>
          <w:sz w:val="24"/>
          <w:szCs w:val="24"/>
          <w:lang w:val="en-US" w:eastAsia="zh-CN"/>
        </w:rPr>
      </w:pPr>
      <w:r>
        <w:rPr>
          <w:rFonts w:hint="eastAsia"/>
          <w:sz w:val="24"/>
          <w:szCs w:val="24"/>
          <w:lang w:val="en-US" w:eastAsia="zh-CN"/>
        </w:rPr>
        <w:t>References:</w:t>
      </w:r>
    </w:p>
    <w:p w14:paraId="4317ACD0">
      <w:pPr>
        <w:numPr>
          <w:numId w:val="0"/>
        </w:numPr>
        <w:spacing w:line="360" w:lineRule="auto"/>
        <w:rPr>
          <w:rFonts w:hint="default"/>
          <w:sz w:val="24"/>
          <w:szCs w:val="24"/>
          <w:lang w:val="en-US" w:eastAsia="zh-CN"/>
        </w:rPr>
      </w:pPr>
      <w:r>
        <w:rPr>
          <w:rFonts w:hint="eastAsia"/>
          <w:sz w:val="24"/>
          <w:szCs w:val="24"/>
          <w:lang w:val="en-US" w:eastAsia="zh-CN"/>
        </w:rPr>
        <w:t>U.</w:t>
      </w:r>
      <w:r>
        <w:rPr>
          <w:rFonts w:hint="default"/>
          <w:sz w:val="24"/>
          <w:szCs w:val="24"/>
          <w:lang w:val="en-US" w:eastAsia="zh-CN"/>
        </w:rPr>
        <w:t xml:space="preserve">S. Food and Drug Administration. (2024a). </w:t>
      </w:r>
      <w:r>
        <w:rPr>
          <w:rFonts w:hint="default"/>
          <w:i/>
          <w:iCs/>
          <w:sz w:val="24"/>
          <w:szCs w:val="24"/>
          <w:lang w:val="en-US" w:eastAsia="zh-CN"/>
        </w:rPr>
        <w:t xml:space="preserve">Approval summary: Datopotamab deruxtecan (Dato-DXd) for HR+/HER2- metastatic breast cancer. </w:t>
      </w:r>
    </w:p>
    <w:p w14:paraId="4BB8CFAA">
      <w:pPr>
        <w:numPr>
          <w:ilvl w:val="0"/>
          <w:numId w:val="0"/>
        </w:numPr>
        <w:spacing w:line="360" w:lineRule="auto"/>
        <w:rPr>
          <w:rFonts w:hint="default"/>
          <w:sz w:val="24"/>
          <w:szCs w:val="24"/>
          <w:lang w:val="en-US" w:eastAsia="zh-CN"/>
        </w:rPr>
      </w:pPr>
    </w:p>
    <w:p w14:paraId="4E92844B">
      <w:pPr>
        <w:numPr>
          <w:numId w:val="0"/>
        </w:numPr>
        <w:spacing w:line="360" w:lineRule="auto"/>
        <w:ind w:leftChars="0"/>
        <w:rPr>
          <w:rFonts w:hint="default"/>
          <w:i/>
          <w:iCs/>
          <w:sz w:val="24"/>
          <w:szCs w:val="24"/>
          <w:lang w:val="en-US" w:eastAsia="zh-CN"/>
        </w:rPr>
      </w:pPr>
      <w:r>
        <w:rPr>
          <w:rFonts w:hint="eastAsia"/>
          <w:sz w:val="24"/>
          <w:szCs w:val="24"/>
          <w:lang w:val="en-US" w:eastAsia="zh-CN"/>
        </w:rPr>
        <w:t>U.</w:t>
      </w:r>
      <w:r>
        <w:rPr>
          <w:rFonts w:hint="default"/>
          <w:sz w:val="24"/>
          <w:szCs w:val="24"/>
          <w:lang w:val="en-US" w:eastAsia="zh-CN"/>
        </w:rPr>
        <w:t xml:space="preserve">S. Food and Drug Administration. (2024b). </w:t>
      </w:r>
      <w:r>
        <w:rPr>
          <w:rFonts w:hint="default"/>
          <w:i/>
          <w:iCs/>
          <w:sz w:val="24"/>
          <w:szCs w:val="24"/>
          <w:lang w:val="en-US" w:eastAsia="zh-CN"/>
        </w:rPr>
        <w:t>Multidiscipline review report: Datopotamab deruxtecan.</w:t>
      </w:r>
    </w:p>
    <w:p w14:paraId="5114EA2B">
      <w:pPr>
        <w:numPr>
          <w:ilvl w:val="0"/>
          <w:numId w:val="0"/>
        </w:numPr>
        <w:spacing w:line="360" w:lineRule="auto"/>
        <w:ind w:leftChars="0"/>
        <w:rPr>
          <w:rFonts w:hint="default"/>
          <w:sz w:val="24"/>
          <w:szCs w:val="24"/>
          <w:lang w:val="en-US" w:eastAsia="zh-CN"/>
        </w:rPr>
      </w:pPr>
    </w:p>
    <w:p w14:paraId="73CB9CA4">
      <w:pPr>
        <w:numPr>
          <w:numId w:val="0"/>
        </w:numPr>
        <w:spacing w:line="360" w:lineRule="auto"/>
        <w:rPr>
          <w:rFonts w:hint="default"/>
          <w:i/>
          <w:iCs/>
          <w:sz w:val="24"/>
          <w:szCs w:val="24"/>
          <w:lang w:val="en-US" w:eastAsia="zh-CN"/>
        </w:rPr>
      </w:pPr>
      <w:r>
        <w:rPr>
          <w:rFonts w:hint="eastAsia"/>
          <w:sz w:val="24"/>
          <w:szCs w:val="24"/>
          <w:lang w:val="en-US" w:eastAsia="zh-CN"/>
        </w:rPr>
        <w:t>U.</w:t>
      </w:r>
      <w:r>
        <w:rPr>
          <w:rFonts w:hint="default"/>
          <w:sz w:val="24"/>
          <w:szCs w:val="24"/>
          <w:lang w:val="en-US" w:eastAsia="zh-CN"/>
        </w:rPr>
        <w:t>S. Food and Drug Administration. (2024c).</w:t>
      </w:r>
      <w:r>
        <w:rPr>
          <w:rFonts w:hint="default"/>
          <w:i/>
          <w:iCs/>
          <w:sz w:val="24"/>
          <w:szCs w:val="24"/>
          <w:lang w:val="en-US" w:eastAsia="zh-CN"/>
        </w:rPr>
        <w:t xml:space="preserve"> Datopotamab deruxtecan prescribing information.</w:t>
      </w:r>
    </w:p>
    <w:p w14:paraId="1FCC4A3E">
      <w:pPr>
        <w:spacing w:line="360" w:lineRule="auto"/>
        <w:rPr>
          <w:rFonts w:hint="default"/>
          <w:sz w:val="24"/>
          <w:szCs w:val="24"/>
        </w:rPr>
      </w:pPr>
    </w:p>
    <w:p w14:paraId="02272101">
      <w:pPr>
        <w:spacing w:line="360" w:lineRule="auto"/>
        <w:rPr>
          <w:rFonts w:hint="default"/>
          <w:sz w:val="24"/>
          <w:szCs w:val="24"/>
        </w:rPr>
      </w:pPr>
    </w:p>
    <w:p w14:paraId="4E411FE8">
      <w:pPr>
        <w:spacing w:line="360" w:lineRule="auto"/>
        <w:rPr>
          <w:rFonts w:hint="eastAsia" w:eastAsia="宋体"/>
          <w:sz w:val="24"/>
          <w:szCs w:val="24"/>
          <w:lang w:val="en-US" w:eastAsia="zh-CN"/>
        </w:rPr>
      </w:pPr>
    </w:p>
    <w:p w14:paraId="6A56EDB8">
      <w:pPr>
        <w:spacing w:line="360" w:lineRule="auto"/>
        <w:rPr>
          <w:rFonts w:hint="eastAsia" w:eastAsia="宋体"/>
          <w:sz w:val="24"/>
          <w:szCs w:val="24"/>
          <w:lang w:val="en-US" w:eastAsia="zh-CN"/>
        </w:rPr>
      </w:pPr>
    </w:p>
    <w:p w14:paraId="6F172AF5">
      <w:pPr>
        <w:spacing w:line="360" w:lineRule="auto"/>
        <w:rPr>
          <w:rFonts w:hint="default"/>
          <w:sz w:val="24"/>
          <w:szCs w:val="24"/>
        </w:rPr>
      </w:pPr>
    </w:p>
    <w:p w14:paraId="7D430AA6">
      <w:pPr>
        <w:spacing w:line="360" w:lineRule="auto"/>
        <w:rPr>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0B357B"/>
    <w:multiLevelType w:val="multilevel"/>
    <w:tmpl w:val="630B357B"/>
    <w:lvl w:ilvl="0" w:tentative="0">
      <w:start w:val="1"/>
      <w:numFmt w:val="decimal"/>
      <w:suff w:val="space"/>
      <w:lvlText w:val="%1."/>
      <w:lvlJc w:val="left"/>
      <w:rPr>
        <w:rFonts w:hint="default"/>
        <w:b/>
        <w:bCs/>
        <w:sz w:val="24"/>
        <w:szCs w:val="24"/>
      </w:rPr>
    </w:lvl>
    <w:lvl w:ilvl="1" w:tentative="0">
      <w:start w:val="1"/>
      <w:numFmt w:val="decimal"/>
      <w:suff w:val="space"/>
      <w:lvlText w:val="%1.%2."/>
      <w:lvlJc w:val="left"/>
      <w:pPr>
        <w:ind w:left="0" w:leftChars="0" w:firstLine="0" w:firstLineChars="0"/>
      </w:pPr>
      <w:rPr>
        <w:rFonts w:hint="default"/>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F0A32"/>
    <w:rsid w:val="0C405504"/>
    <w:rsid w:val="0D297BC9"/>
    <w:rsid w:val="13290022"/>
    <w:rsid w:val="165C73DE"/>
    <w:rsid w:val="16664813"/>
    <w:rsid w:val="1AA03612"/>
    <w:rsid w:val="1F35473C"/>
    <w:rsid w:val="23113B92"/>
    <w:rsid w:val="2C6941AB"/>
    <w:rsid w:val="2D4542D1"/>
    <w:rsid w:val="33A04957"/>
    <w:rsid w:val="381429E8"/>
    <w:rsid w:val="38EA6674"/>
    <w:rsid w:val="42405580"/>
    <w:rsid w:val="47CA31FF"/>
    <w:rsid w:val="4AE7656F"/>
    <w:rsid w:val="4C9D15DC"/>
    <w:rsid w:val="4E630603"/>
    <w:rsid w:val="56E378AD"/>
    <w:rsid w:val="59BB5797"/>
    <w:rsid w:val="63657443"/>
    <w:rsid w:val="678A0557"/>
    <w:rsid w:val="68550B65"/>
    <w:rsid w:val="744C7C8B"/>
    <w:rsid w:val="78805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1472</Words>
  <Characters>8629</Characters>
  <Lines>0</Lines>
  <Paragraphs>0</Paragraphs>
  <TotalTime>42</TotalTime>
  <ScaleCrop>false</ScaleCrop>
  <LinksUpToDate>false</LinksUpToDate>
  <CharactersWithSpaces>10000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2026-03-26T11:46:00Z</dcterms:created>
  <dc:creator>华为</dc:creator>
  <cp:lastModifiedBy>松松</cp:lastModifiedBy>
  <dcterms:modified xsi:type="dcterms:W3CDTF">2026-05-30T13:27:17Z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019EEAFC48F544C5B2BF1E752B036120_13</vt:lpwstr>
  </property>
  <property fmtid="{D5CDD505-2E9C-101B-9397-08002B2CF9AE}" pid="4" name="KSOTemplateDocerSaveRecord">
    <vt:lpwstr>eyJoZGlkIjoiMjYwMjExY2FlNzJjNGQ4OTJlYTdjZjljOTMyMGJhNDMiLCJ1c2VySWQiOiIxNDE4Mzk1OTA2In0=</vt:lpwstr>
  </property>
</Properties>
</file>