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EDFDF"/>
  <w:body>
    <w:p w:rsidR="00000000" w:rsidDel="00000000" w:rsidP="00000000" w:rsidRDefault="00000000" w:rsidRPr="00000000" w14:paraId="00000001">
      <w:pPr>
        <w:rPr>
          <w:highlight w:val="white"/>
        </w:rPr>
      </w:pPr>
      <w:r w:rsidDel="00000000" w:rsidR="00000000" w:rsidRPr="00000000">
        <w:rPr>
          <w:b w:val="1"/>
          <w:color w:val="58240f"/>
          <w:sz w:val="48"/>
          <w:szCs w:val="48"/>
          <w:rtl w:val="0"/>
        </w:rPr>
        <w:t xml:space="preserve">Promoting EDI at Conferences</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sz w:val="24"/>
          <w:szCs w:val="24"/>
        </w:rPr>
      </w:pPr>
      <w:r w:rsidDel="00000000" w:rsidR="00000000" w:rsidRPr="00000000">
        <w:rPr>
          <w:b w:val="1"/>
          <w:sz w:val="24"/>
          <w:szCs w:val="24"/>
          <w:rtl w:val="0"/>
        </w:rPr>
        <w:t xml:space="preserve">Why It Matters</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Conferences are critical platforms for sharing knowledge, fostering collaboration, and shaping the future of infectious disease modeling. Ensuring equity, diversity, and inclusion (EDI) in these events improves representation, enhances innovation, and creates a welcoming environment for all participants.</w:t>
      </w:r>
    </w:p>
    <w:p w:rsidR="00000000" w:rsidDel="00000000" w:rsidP="00000000" w:rsidRDefault="00000000" w:rsidRPr="00000000" w14:paraId="000000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sz w:val="24"/>
          <w:szCs w:val="24"/>
        </w:rPr>
      </w:pPr>
      <w:r w:rsidDel="00000000" w:rsidR="00000000" w:rsidRPr="00000000">
        <w:rPr>
          <w:b w:val="1"/>
          <w:sz w:val="24"/>
          <w:szCs w:val="24"/>
          <w:rtl w:val="0"/>
        </w:rPr>
        <w:t xml:space="preserve">Key Challenges</w:t>
      </w:r>
    </w:p>
    <w:p w:rsidR="00000000" w:rsidDel="00000000" w:rsidP="00000000" w:rsidRDefault="00000000" w:rsidRPr="00000000" w14:paraId="00000007">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Representation</w:t>
      </w:r>
      <w:r w:rsidDel="00000000" w:rsidR="00000000" w:rsidRPr="00000000">
        <w:rPr>
          <w:sz w:val="24"/>
          <w:szCs w:val="24"/>
          <w:rtl w:val="0"/>
        </w:rPr>
        <w:t xml:space="preserve">: Lack of diversity in organizing committees, speakers, and participants limits perspectives and expertise.</w:t>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Accessibility</w:t>
      </w:r>
      <w:r w:rsidDel="00000000" w:rsidR="00000000" w:rsidRPr="00000000">
        <w:rPr>
          <w:sz w:val="24"/>
          <w:szCs w:val="24"/>
          <w:rtl w:val="0"/>
        </w:rPr>
        <w:t xml:space="preserve">: Financial barriers, visa challenges, and caregiving responsibilities prevent full participation.</w:t>
      </w:r>
    </w:p>
    <w:p w:rsidR="00000000" w:rsidDel="00000000" w:rsidP="00000000" w:rsidRDefault="00000000" w:rsidRPr="00000000" w14:paraId="00000009">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Engagement</w:t>
      </w:r>
      <w:r w:rsidDel="00000000" w:rsidR="00000000" w:rsidRPr="00000000">
        <w:rPr>
          <w:sz w:val="24"/>
          <w:szCs w:val="24"/>
          <w:rtl w:val="0"/>
        </w:rPr>
        <w:t xml:space="preserve">: Inaccessible talks, limited mentoring opportunities, and alcohol-centered social events exclude certain attendees.</w:t>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sz w:val="24"/>
          <w:szCs w:val="24"/>
        </w:rPr>
      </w:pPr>
      <w:r w:rsidDel="00000000" w:rsidR="00000000" w:rsidRPr="00000000">
        <w:rPr>
          <w:b w:val="1"/>
          <w:sz w:val="24"/>
          <w:szCs w:val="24"/>
          <w:rtl w:val="0"/>
        </w:rPr>
        <w:t xml:space="preserve">Actionable Steps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1. Organization</w:t>
      </w:r>
    </w:p>
    <w:p w:rsidR="00000000" w:rsidDel="00000000" w:rsidP="00000000" w:rsidRDefault="00000000" w:rsidRPr="00000000" w14:paraId="0000000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Form organizing committees with diverse representation across demographics, expertise, and perspectives.</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Implement hybrid event formats to ensure participation from those unable to attend in person.</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Establish funding programs for participants needing childcare, travel assistance, or other logistical support.</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Publish comprehensive event details (e.g., location, accessibility, visa requirements) well in advance.</w:t>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Develop and enforce a code of conduct with clear reporting mechanisms for any violations.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Identify and accommodate specific participant needs, such as breastfeeding spaces and adjustments for light sensitivities.</w:t>
      </w:r>
    </w:p>
    <w:p w:rsidR="00000000" w:rsidDel="00000000" w:rsidP="00000000" w:rsidRDefault="00000000" w:rsidRPr="00000000" w14:paraId="00000013">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Provide multiple payment options, including those suitable for international participants.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2. Mentorship and Social Events</w:t>
      </w:r>
    </w:p>
    <w:p w:rsidR="00000000" w:rsidDel="00000000" w:rsidP="00000000" w:rsidRDefault="00000000" w:rsidRPr="00000000" w14:paraId="0000001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Pair early-career researchers with experienced mentors to provide guidance and support.</w:t>
      </w:r>
    </w:p>
    <w:p w:rsidR="00000000" w:rsidDel="00000000" w:rsidP="00000000" w:rsidRDefault="00000000" w:rsidRPr="00000000" w14:paraId="0000001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Offer non-alcoholic events with diverse food and drink options, and include quiet spaces for those needing breaks.</w:t>
      </w:r>
    </w:p>
    <w:p w:rsidR="00000000" w:rsidDel="00000000" w:rsidP="00000000" w:rsidRDefault="00000000" w:rsidRPr="00000000" w14:paraId="0000001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Ensure social events are not centered around alcohol to foster inclusivity and safety.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3. Presentations</w:t>
      </w:r>
    </w:p>
    <w:p w:rsidR="00000000" w:rsidDel="00000000" w:rsidP="00000000" w:rsidRDefault="00000000" w:rsidRPr="00000000" w14:paraId="0000001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Use simple visuals and inclusive tools, such as digital pointers.</w:t>
      </w:r>
    </w:p>
    <w:p w:rsidR="00000000" w:rsidDel="00000000" w:rsidP="00000000" w:rsidRDefault="00000000" w:rsidRPr="00000000" w14:paraId="0000001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Require microphones for all speakers and encourage introductions to connect with the audience.</w:t>
      </w:r>
    </w:p>
    <w:p w:rsidR="00000000" w:rsidDel="00000000" w:rsidP="00000000" w:rsidRDefault="00000000" w:rsidRPr="00000000" w14:paraId="0000001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Encourage clarity and accessibility in language and delivery style for diverse audiences.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4. Q&amp;A Sessions</w:t>
      </w:r>
    </w:p>
    <w:p w:rsidR="00000000" w:rsidDel="00000000" w:rsidP="00000000" w:rsidRDefault="00000000" w:rsidRPr="00000000" w14:paraId="0000001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Encourage diverse participation by creating space for underrepresented voices.</w:t>
      </w:r>
    </w:p>
    <w:p w:rsidR="00000000" w:rsidDel="00000000" w:rsidP="00000000" w:rsidRDefault="00000000" w:rsidRPr="00000000" w14:paraId="0000001E">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Deploy microphone runners and allow time for reflection during discussions.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5. Working Groups and Breakout Sessions</w:t>
      </w:r>
    </w:p>
    <w:p w:rsidR="00000000" w:rsidDel="00000000" w:rsidP="00000000" w:rsidRDefault="00000000" w:rsidRPr="00000000" w14:paraId="0000002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Designate a chair, notetaker, and lead discussant, with EDI integrated into the chair’s responsibilities.</w:t>
      </w:r>
    </w:p>
    <w:p w:rsidR="00000000" w:rsidDel="00000000" w:rsidP="00000000" w:rsidRDefault="00000000" w:rsidRPr="00000000" w14:paraId="0000002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Clearly outline procedures for any publications or outputs arising from sessions.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6. Post-Event Follow-Up</w:t>
      </w:r>
    </w:p>
    <w:p w:rsidR="00000000" w:rsidDel="00000000" w:rsidP="00000000" w:rsidRDefault="00000000" w:rsidRPr="00000000" w14:paraId="00000023">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Collect participant feedback and diversity statistics to evaluate the event’s impact.</w:t>
      </w:r>
    </w:p>
    <w:p w:rsidR="00000000" w:rsidDel="00000000" w:rsidP="00000000" w:rsidRDefault="00000000" w:rsidRPr="00000000" w14:paraId="0000002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Share event outcomes, such as videos and summaries, to engage participants and inform future planning.</w:t>
      </w:r>
    </w:p>
    <w:p w:rsidR="00000000" w:rsidDel="00000000" w:rsidP="00000000" w:rsidRDefault="00000000" w:rsidRPr="00000000" w14:paraId="0000002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color w:val="000000"/>
        </w:rPr>
      </w:pPr>
      <w:bookmarkStart w:colFirst="0" w:colLast="0" w:name="_hc99p4ovtec" w:id="0"/>
      <w:bookmarkEnd w:id="0"/>
      <w:r w:rsidDel="00000000" w:rsidR="00000000" w:rsidRPr="00000000">
        <w:rPr>
          <w:b w:val="1"/>
          <w:color w:val="000000"/>
          <w:rtl w:val="0"/>
        </w:rPr>
        <w:t xml:space="preserve">Resources</w:t>
      </w:r>
    </w:p>
    <w:p w:rsidR="00000000" w:rsidDel="00000000" w:rsidP="00000000" w:rsidRDefault="00000000" w:rsidRPr="00000000" w14:paraId="00000027">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Code of Conduct</w:t>
      </w:r>
    </w:p>
    <w:p w:rsidR="00000000" w:rsidDel="00000000" w:rsidP="00000000" w:rsidRDefault="00000000" w:rsidRPr="00000000" w14:paraId="0000002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Funding Resources</w:t>
      </w:r>
    </w:p>
    <w:p w:rsidR="00000000" w:rsidDel="00000000" w:rsidP="00000000" w:rsidRDefault="00000000" w:rsidRPr="00000000" w14:paraId="0000002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Accessibility Guides</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276" w:lineRule="auto"/>
        <w:rPr>
          <w:sz w:val="24"/>
          <w:szCs w:val="24"/>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