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C0E1D">
      <w:pPr>
        <w:spacing w:after="120"/>
        <w:jc w:val="left"/>
      </w:pPr>
      <w:r>
        <w:rPr>
          <w:rFonts w:ascii="微软雅黑" w:hAnsi="微软雅黑" w:eastAsia="微软雅黑"/>
          <w:b/>
          <w:color w:val="173B5F"/>
          <w:sz w:val="52"/>
        </w:rPr>
        <w:t>LangG 现状架构图谱说明</w:t>
      </w:r>
    </w:p>
    <w:p w14:paraId="0EC8CB60">
      <w:pPr>
        <w:spacing w:after="360"/>
      </w:pPr>
      <w:r>
        <w:rPr>
          <w:rFonts w:ascii="微软雅黑" w:hAnsi="微软雅黑" w:eastAsia="微软雅黑"/>
          <w:color w:val="5B6770"/>
          <w:sz w:val="24"/>
        </w:rPr>
        <w:t>面向项目内部的当前态说明：代码入口、数据流、落盘边界与 SSE 消费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7"/>
        <w:gridCol w:w="6329"/>
      </w:tblGrid>
      <w:tr w14:paraId="69177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EAF3FA"/>
            <w:vAlign w:val="center"/>
          </w:tcPr>
          <w:p w14:paraId="0B3BF8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5100" w:type="dxa"/>
            <w:shd w:val="clear" w:color="auto" w:fill="EAF3FA"/>
            <w:vAlign w:val="center"/>
          </w:tcPr>
          <w:p w14:paraId="0F37CC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630CF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7E1CF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后端入口</w:t>
            </w:r>
          </w:p>
        </w:tc>
        <w:tc>
          <w:tcPr>
            <w:tcW w:w="7087" w:type="dxa"/>
            <w:vAlign w:val="center"/>
          </w:tcPr>
          <w:p w14:paraId="3C3254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backend/app.py、backend/api/routes/*、backend/api/services/graph_service.py</w:t>
            </w:r>
          </w:p>
        </w:tc>
      </w:tr>
      <w:tr w14:paraId="04F67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F58F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RAG 入口</w:t>
            </w:r>
          </w:p>
        </w:tc>
        <w:tc>
          <w:tcPr>
            <w:tcW w:w="7087" w:type="dxa"/>
            <w:vAlign w:val="center"/>
          </w:tcPr>
          <w:p w14:paraId="6AA1C9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src/rag/retriever.py、src/tools/rag_tools.py；构建链路参考 src/rag/ingest.py 与 bm25_index.py</w:t>
            </w:r>
          </w:p>
        </w:tc>
      </w:tr>
      <w:tr w14:paraId="5084E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65BF8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前端入口</w:t>
            </w:r>
          </w:p>
        </w:tc>
        <w:tc>
          <w:tcPr>
            <w:tcW w:w="7087" w:type="dxa"/>
            <w:vAlign w:val="center"/>
          </w:tcPr>
          <w:p w14:paraId="1F188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frontend/src/app/api/client.ts、frontend/src/pages/workspace-page.tsx、stream-reducer.ts</w:t>
            </w:r>
          </w:p>
        </w:tc>
      </w:tr>
      <w:tr w14:paraId="61617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04306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本文边界</w:t>
            </w:r>
          </w:p>
        </w:tc>
        <w:tc>
          <w:tcPr>
            <w:tcW w:w="7087" w:type="dxa"/>
            <w:vAlign w:val="center"/>
          </w:tcPr>
          <w:p w14:paraId="146DEB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描述当前实现，不写目标架构；重点放在运行入口、数据流、持久化和关键边界。</w:t>
            </w:r>
          </w:p>
        </w:tc>
      </w:tr>
    </w:tbl>
    <w:p w14:paraId="3204BD8A">
      <w:pPr>
        <w:pStyle w:val="3"/>
      </w:pPr>
      <w:r>
        <w:rPr>
          <w:rFonts w:ascii="微软雅黑" w:hAnsi="微软雅黑" w:eastAsia="微软雅黑"/>
          <w:color w:val="1F4E79"/>
        </w:rPr>
        <w:t>1. 总体运行入口</w:t>
      </w:r>
    </w:p>
    <w:p w14:paraId="19083CD9">
      <w:pPr>
        <w:jc w:val="center"/>
      </w:pPr>
      <w:r>
        <w:drawing>
          <wp:inline distT="0" distB="0" distL="114300" distR="114300">
            <wp:extent cx="6126480" cy="36372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B5A8">
      <w:pPr>
        <w:jc w:val="center"/>
      </w:pPr>
      <w:r>
        <w:rPr>
          <w:rFonts w:ascii="微软雅黑" w:hAnsi="微软雅黑" w:eastAsia="微软雅黑"/>
          <w:color w:val="5B6770"/>
          <w:sz w:val="18"/>
        </w:rPr>
        <w:t>图 1：后端启动后装配运行时容器、图服务与场景分流器。</w:t>
      </w:r>
    </w:p>
    <w:p w14:paraId="4B600A39">
      <w:pPr>
        <w:spacing w:after="140" w:line="276" w:lineRule="auto"/>
      </w:pPr>
      <w:r>
        <w:rPr>
          <w:rFonts w:ascii="微软雅黑" w:hAnsi="微软雅黑" w:eastAsia="微软雅黑"/>
          <w:sz w:val="21"/>
        </w:rPr>
        <w:t>backend/app.py:create_app() 创建 FastAPI 实例，挂载鉴权、CORS 与业务路由。lifespan 中创建 runtime_root、assets_root、PatientRegistryService、InMemorySessionStore、patient graph、doctor graph 以及 SceneGraphRouter，并集中放入 app.state.runtime。</w:t>
      </w:r>
    </w:p>
    <w:p w14:paraId="37C6475B">
      <w:pPr>
        <w:pStyle w:val="16"/>
        <w:spacing w:after="60"/>
      </w:pPr>
      <w:r>
        <w:rPr>
          <w:rFonts w:ascii="微软雅黑" w:hAnsi="微软雅黑" w:eastAsia="微软雅黑"/>
          <w:sz w:val="20"/>
        </w:rPr>
        <w:t>runner_mode 默认 real；GRAPH_RUNNER_MODE=fixture 时 patient/doctor 都走 FixtureGraphRunner。</w:t>
      </w:r>
    </w:p>
    <w:p w14:paraId="3B5EAB47">
      <w:pPr>
        <w:pStyle w:val="16"/>
        <w:spacing w:after="60"/>
      </w:pPr>
      <w:r>
        <w:rPr>
          <w:rFonts w:ascii="微软雅黑" w:hAnsi="微软雅黑" w:eastAsia="微软雅黑"/>
          <w:sz w:val="20"/>
        </w:rPr>
        <w:t>RAG_WARMUP 默认开启，但只 warmup retriever，不自动构建知识库。</w:t>
      </w:r>
    </w:p>
    <w:p w14:paraId="2D3A66AE">
      <w:pPr>
        <w:pStyle w:val="16"/>
        <w:spacing w:after="60"/>
      </w:pPr>
      <w:r>
        <w:rPr>
          <w:rFonts w:ascii="微软雅黑" w:hAnsi="微软雅黑" w:eastAsia="微软雅黑"/>
          <w:sz w:val="20"/>
        </w:rPr>
        <w:t>session_store 是内存态；patient_registry_service 指向 runtime/patient_registry.db；上传资产写入 runtime/assets/。</w:t>
      </w:r>
    </w:p>
    <w:p w14:paraId="5C80C77B">
      <w:pPr>
        <w:pStyle w:val="3"/>
      </w:pPr>
      <w:r>
        <w:rPr>
          <w:rFonts w:ascii="微软雅黑" w:hAnsi="微软雅黑" w:eastAsia="微软雅黑"/>
          <w:color w:val="1F4E79"/>
        </w:rPr>
        <w:t>2. API 路由职责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2599"/>
        <w:gridCol w:w="5045"/>
      </w:tblGrid>
      <w:tr w14:paraId="16384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3FA"/>
            <w:vAlign w:val="center"/>
          </w:tcPr>
          <w:p w14:paraId="2C36A5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Router</w:t>
            </w:r>
          </w:p>
        </w:tc>
        <w:tc>
          <w:tcPr>
            <w:tcW w:w="3400" w:type="dxa"/>
            <w:shd w:val="clear" w:color="auto" w:fill="EAF3FA"/>
            <w:vAlign w:val="center"/>
          </w:tcPr>
          <w:p w14:paraId="2B835C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Prefix</w:t>
            </w:r>
          </w:p>
        </w:tc>
        <w:tc>
          <w:tcPr>
            <w:tcW w:w="3400" w:type="dxa"/>
            <w:shd w:val="clear" w:color="auto" w:fill="EAF3FA"/>
            <w:vAlign w:val="center"/>
          </w:tcPr>
          <w:p w14:paraId="04C43A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当前职责</w:t>
            </w:r>
          </w:p>
        </w:tc>
      </w:tr>
      <w:tr w14:paraId="20036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4D880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sessions.py</w:t>
            </w:r>
          </w:p>
        </w:tc>
        <w:tc>
          <w:tcPr>
            <w:tcW w:w="2268" w:type="dxa"/>
            <w:vAlign w:val="center"/>
          </w:tcPr>
          <w:p w14:paraId="07B635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/api/sessions</w:t>
            </w:r>
          </w:p>
        </w:tc>
        <w:tc>
          <w:tcPr>
            <w:tcW w:w="5272" w:type="dxa"/>
            <w:vAlign w:val="center"/>
          </w:tcPr>
          <w:p w14:paraId="1AA9B4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创建、查询、重置 session；读取消息历史；doctor 绑定患者；patient 保存身份。</w:t>
            </w:r>
          </w:p>
        </w:tc>
      </w:tr>
      <w:tr w14:paraId="6AB46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B6E5E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chat.py</w:t>
            </w:r>
          </w:p>
        </w:tc>
        <w:tc>
          <w:tcPr>
            <w:tcW w:w="2268" w:type="dxa"/>
            <w:vAlign w:val="center"/>
          </w:tcPr>
          <w:p w14:paraId="3FF72A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/api/sessions</w:t>
            </w:r>
          </w:p>
        </w:tc>
        <w:tc>
          <w:tcPr>
            <w:tcW w:w="5272" w:type="dxa"/>
            <w:vAlign w:val="center"/>
          </w:tcPr>
          <w:p w14:paraId="72492C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 /{session_id}/messages/stream，以 text/event-stream 运行一轮 graph。</w:t>
            </w:r>
          </w:p>
        </w:tc>
      </w:tr>
      <w:tr w14:paraId="1720B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29797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database.py</w:t>
            </w:r>
          </w:p>
        </w:tc>
        <w:tc>
          <w:tcPr>
            <w:tcW w:w="2268" w:type="dxa"/>
            <w:vAlign w:val="center"/>
          </w:tcPr>
          <w:p w14:paraId="7C3549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/api/database</w:t>
            </w:r>
          </w:p>
        </w:tc>
        <w:tc>
          <w:tcPr>
            <w:tcW w:w="5272" w:type="dxa"/>
            <w:vAlign w:val="center"/>
          </w:tcPr>
          <w:p w14:paraId="302414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医生侧历史病例库统计、搜索、详情、upsert 与 query intent。</w:t>
            </w:r>
          </w:p>
        </w:tc>
      </w:tr>
      <w:tr w14:paraId="4ABFD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D7627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patient_registry.py</w:t>
            </w:r>
          </w:p>
        </w:tc>
        <w:tc>
          <w:tcPr>
            <w:tcW w:w="2268" w:type="dxa"/>
            <w:vAlign w:val="center"/>
          </w:tcPr>
          <w:p w14:paraId="2647D6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/api/patient-registry</w:t>
            </w:r>
          </w:p>
        </w:tc>
        <w:tc>
          <w:tcPr>
            <w:tcW w:w="5272" w:type="dxa"/>
            <w:vAlign w:val="center"/>
          </w:tcPr>
          <w:p w14:paraId="6B06A8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患者登记库 recent/search/detail/records/alerts/delete/clear。</w:t>
            </w:r>
          </w:p>
        </w:tc>
      </w:tr>
      <w:tr w14:paraId="233D2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B8D52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uploads.py</w:t>
            </w:r>
          </w:p>
        </w:tc>
        <w:tc>
          <w:tcPr>
            <w:tcW w:w="2268" w:type="dxa"/>
            <w:vAlign w:val="center"/>
          </w:tcPr>
          <w:p w14:paraId="3681D6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</w:t>
            </w:r>
          </w:p>
        </w:tc>
        <w:tc>
          <w:tcPr>
            <w:tcW w:w="5272" w:type="dxa"/>
            <w:vAlign w:val="center"/>
          </w:tcPr>
          <w:p w14:paraId="409399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患者侧上传文件，转换 medical_card，写入 session context 和患者登记库。</w:t>
            </w:r>
          </w:p>
        </w:tc>
      </w:tr>
      <w:tr w14:paraId="57357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B2C32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assets.py</w:t>
            </w:r>
          </w:p>
        </w:tc>
        <w:tc>
          <w:tcPr>
            <w:tcW w:w="2268" w:type="dxa"/>
            <w:vAlign w:val="center"/>
          </w:tcPr>
          <w:p w14:paraId="3997B8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</w:t>
            </w:r>
          </w:p>
        </w:tc>
        <w:tc>
          <w:tcPr>
            <w:tcW w:w="5272" w:type="dxa"/>
            <w:vAlign w:val="center"/>
          </w:tcPr>
          <w:p w14:paraId="57E0BB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按 asset_id 读取上传资产内容，设置安全的 Content-Disposition。</w:t>
            </w:r>
          </w:p>
        </w:tc>
      </w:tr>
    </w:tbl>
    <w:p w14:paraId="2C445CBD"/>
    <w:p w14:paraId="15A85C45">
      <w:pPr>
        <w:spacing w:after="140" w:line="276" w:lineRule="auto"/>
      </w:pPr>
      <w:r>
        <w:rPr>
          <w:rFonts w:ascii="微软雅黑" w:hAnsi="微软雅黑" w:eastAsia="微软雅黑"/>
          <w:sz w:val="21"/>
        </w:rPr>
        <w:t>路由层不直接运行 LangGraph。chat.py 通过 request.app.state.runtime.scene_router.for_session(session_id) 选择 GraphService，然后将其 async iterator 包装成 StreamingResponse。</w:t>
      </w:r>
    </w:p>
    <w:p w14:paraId="30A58D50">
      <w:pPr>
        <w:pStyle w:val="3"/>
      </w:pPr>
      <w:r>
        <w:rPr>
          <w:rFonts w:ascii="微软雅黑" w:hAnsi="微软雅黑" w:eastAsia="微软雅黑"/>
          <w:color w:val="1F4E79"/>
        </w:rPr>
        <w:t>3. patient/doctor 运行时调度</w:t>
      </w:r>
    </w:p>
    <w:p w14:paraId="584E3088">
      <w:pPr>
        <w:jc w:val="center"/>
      </w:pPr>
      <w:r>
        <w:drawing>
          <wp:inline distT="0" distB="0" distL="114300" distR="114300">
            <wp:extent cx="6126480" cy="335026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5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61BE">
      <w:pPr>
        <w:jc w:val="center"/>
      </w:pPr>
      <w:r>
        <w:rPr>
          <w:rFonts w:ascii="微软雅黑" w:hAnsi="微软雅黑" w:eastAsia="微软雅黑"/>
          <w:color w:val="5B6770"/>
          <w:sz w:val="18"/>
        </w:rPr>
        <w:t>图 2：patient 与 doctor 场景的上下文来源和注入边界。</w:t>
      </w:r>
    </w:p>
    <w:p w14:paraId="1013AE38">
      <w:pPr>
        <w:pStyle w:val="4"/>
      </w:pPr>
      <w:r>
        <w:rPr>
          <w:rFonts w:ascii="微软雅黑" w:hAnsi="微软雅黑" w:eastAsia="微软雅黑"/>
          <w:color w:val="173B5F"/>
        </w:rPr>
        <w:t>3.1 session 与场景分流</w:t>
      </w:r>
    </w:p>
    <w:p w14:paraId="7742AD13">
      <w:pPr>
        <w:spacing w:after="140" w:line="276" w:lineRule="auto"/>
      </w:pPr>
      <w:r>
        <w:rPr>
          <w:rFonts w:ascii="微软雅黑" w:hAnsi="微软雅黑" w:eastAsia="微软雅黑"/>
          <w:sz w:val="21"/>
        </w:rPr>
        <w:t>sessions.py:create_session() 只接受 patient 或 doctor。patient session 创建时会在 runtime/patient_registry.db 中创建草稿患者，并把 patient_id 写回 SessionMeta；doctor session 默认只创建内存 session。</w:t>
      </w:r>
    </w:p>
    <w:p w14:paraId="6BAB386E">
      <w:pPr>
        <w:spacing w:after="140" w:line="276" w:lineRule="auto"/>
      </w:pPr>
      <w:r>
        <w:rPr>
          <w:rFonts w:ascii="微软雅黑" w:hAnsi="微软雅黑" w:eastAsia="微软雅黑"/>
          <w:sz w:val="21"/>
        </w:rPr>
        <w:t>SceneGraphRouter.for_session(session_id) 是 graph 分流点：meta.scene == patient 时使用 PatientGraphService，其余使用 DoctorGraphService。</w:t>
      </w:r>
    </w:p>
    <w:p w14:paraId="7F5EC1CD">
      <w:pPr>
        <w:pStyle w:val="4"/>
      </w:pPr>
      <w:r>
        <w:rPr>
          <w:rFonts w:ascii="微软雅黑" w:hAnsi="微软雅黑" w:eastAsia="微软雅黑"/>
          <w:color w:val="173B5F"/>
        </w:rPr>
        <w:t>3.2 单轮 graph 执行</w:t>
      </w:r>
    </w:p>
    <w:p w14:paraId="50C4FA0C">
      <w:pPr>
        <w:jc w:val="center"/>
      </w:pPr>
      <w:r>
        <w:drawing>
          <wp:inline distT="0" distB="0" distL="114300" distR="114300">
            <wp:extent cx="6126480" cy="2919095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6E98">
      <w:pPr>
        <w:jc w:val="center"/>
      </w:pPr>
      <w:r>
        <w:rPr>
          <w:rFonts w:ascii="微软雅黑" w:hAnsi="微软雅黑" w:eastAsia="微软雅黑"/>
          <w:color w:val="5B6770"/>
          <w:sz w:val="18"/>
        </w:rPr>
        <w:t>图 3：单轮消息从 API 入口进入图执行，再被编码成 SSE 返回。</w:t>
      </w:r>
    </w:p>
    <w:p w14:paraId="3C07DE4C">
      <w:pPr>
        <w:pStyle w:val="16"/>
        <w:spacing w:after="60"/>
      </w:pPr>
      <w:r>
        <w:rPr>
          <w:rFonts w:ascii="微软雅黑" w:hAnsi="微软雅黑" w:eastAsia="微软雅黑"/>
          <w:sz w:val="20"/>
        </w:rPr>
        <w:t>GraphService.stream_turn() 先读取 SessionMeta，再通过 try_acquire_run_lock 防止同 session 并发运行。</w:t>
      </w:r>
    </w:p>
    <w:p w14:paraId="6BA81944">
      <w:pPr>
        <w:pStyle w:val="16"/>
        <w:spacing w:after="60"/>
      </w:pPr>
      <w:r>
        <w:rPr>
          <w:rFonts w:ascii="微软雅黑" w:hAnsi="微软雅黑" w:eastAsia="微软雅黑"/>
          <w:sz w:val="20"/>
        </w:rPr>
        <w:t>payload_builder.build_graph_payload() 合成 messages、patient_profile、findings、roadmap、medical_card、summary_memory 等 graph 输入。</w:t>
      </w:r>
    </w:p>
    <w:p w14:paraId="234417E2">
      <w:pPr>
        <w:pStyle w:val="16"/>
        <w:spacing w:after="60"/>
      </w:pPr>
      <w:r>
        <w:rPr>
          <w:rFonts w:ascii="微软雅黑" w:hAnsi="微软雅黑" w:eastAsia="微软雅黑"/>
          <w:sz w:val="20"/>
        </w:rPr>
        <w:t>compiled_graph.astream() 使用 thread_id 作为 LangGraph configurable thread_id。</w:t>
      </w:r>
    </w:p>
    <w:p w14:paraId="28B84823">
      <w:pPr>
        <w:pStyle w:val="16"/>
        <w:spacing w:after="60"/>
      </w:pPr>
      <w:r>
        <w:rPr>
          <w:rFonts w:ascii="微软雅黑" w:hAnsi="微软雅黑" w:eastAsia="微软雅黑"/>
          <w:sz w:val="20"/>
        </w:rPr>
        <w:t>模型 token callback 转为 message.delta；node output 通过 normalize_tick() 转为 status.node、message.done、card.upsert、references.append 等事件。</w:t>
      </w:r>
    </w:p>
    <w:p w14:paraId="07E7E76D">
      <w:pPr>
        <w:pStyle w:val="16"/>
        <w:spacing w:after="60"/>
      </w:pPr>
      <w:r>
        <w:rPr>
          <w:rFonts w:ascii="微软雅黑" w:hAnsi="微软雅黑" w:eastAsia="微软雅黑"/>
          <w:sz w:val="20"/>
        </w:rPr>
        <w:t>成功后 bump snapshot_version 并发送 done；失败时恢复 pending_context_messages，发送 error 和 done。</w:t>
      </w:r>
    </w:p>
    <w:p w14:paraId="44AA8245">
      <w:pPr>
        <w:pStyle w:val="4"/>
      </w:pPr>
      <w:r>
        <w:rPr>
          <w:rFonts w:ascii="微软雅黑" w:hAnsi="微软雅黑" w:eastAsia="微软雅黑"/>
          <w:color w:val="173B5F"/>
        </w:rPr>
        <w:t>3.3 doctor 特有上下文</w:t>
      </w:r>
    </w:p>
    <w:p w14:paraId="0B6AE995">
      <w:pPr>
        <w:spacing w:after="140" w:line="276" w:lineRule="auto"/>
      </w:pPr>
      <w:r>
        <w:rPr>
          <w:rFonts w:ascii="微软雅黑" w:hAnsi="微软雅黑" w:eastAsia="微软雅黑"/>
          <w:sz w:val="21"/>
        </w:rPr>
        <w:t>DoctorGraphService._prepare_session_meta() 在医生 session 绑定 patient_id 且尚未注入过该患者时，从 PatientRegistryService 读取患者摘要与 alerts，组合成 HumanMessage 放入 pending_context_messages。下一轮 graph payload 会先带上这条上下文消息。</w:t>
      </w:r>
    </w:p>
    <w:p w14:paraId="63167F5E">
      <w:pPr>
        <w:pStyle w:val="4"/>
      </w:pPr>
      <w:r>
        <w:rPr>
          <w:rFonts w:ascii="微软雅黑" w:hAnsi="微软雅黑" w:eastAsia="微软雅黑"/>
          <w:color w:val="173B5F"/>
        </w:rPr>
        <w:t>3.4 patient 特有上下文</w:t>
      </w:r>
    </w:p>
    <w:p w14:paraId="6751D44C">
      <w:pPr>
        <w:spacing w:after="140" w:line="276" w:lineRule="auto"/>
      </w:pPr>
      <w:r>
        <w:rPr>
          <w:rFonts w:ascii="微软雅黑" w:hAnsi="微软雅黑" w:eastAsia="微软雅黑"/>
          <w:sz w:val="21"/>
        </w:rPr>
        <w:t>PatientGraphService 不启用 context finalizer，也不主动读取 patient registry 摘要。患者侧上下文主要来自 session 创建的 draft patient_id、identity 接口和 uploads 接口。上传后 upload_service 会把 medical_card 写入 session context_state，并在需要时写入 patient_registry.db。</w:t>
      </w:r>
    </w:p>
    <w:p w14:paraId="65AC5740">
      <w:r>
        <w:br w:type="page"/>
      </w:r>
    </w:p>
    <w:p w14:paraId="7EC00442">
      <w:pPr>
        <w:pStyle w:val="3"/>
      </w:pPr>
      <w:r>
        <w:rPr>
          <w:rFonts w:ascii="微软雅黑" w:hAnsi="微软雅黑" w:eastAsia="微软雅黑"/>
          <w:color w:val="1F4E79"/>
        </w:rPr>
        <w:t>4. 知识库构建与落盘</w:t>
      </w:r>
    </w:p>
    <w:p w14:paraId="60E9079F">
      <w:pPr>
        <w:jc w:val="center"/>
      </w:pPr>
      <w:r>
        <w:drawing>
          <wp:inline distT="0" distB="0" distL="114300" distR="114300">
            <wp:extent cx="6126480" cy="3254375"/>
            <wp:effectExtent l="0" t="0" r="762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9024">
      <w:pPr>
        <w:jc w:val="center"/>
      </w:pPr>
      <w:r>
        <w:rPr>
          <w:rFonts w:ascii="微软雅黑" w:hAnsi="微软雅黑" w:eastAsia="微软雅黑"/>
          <w:color w:val="5B6770"/>
          <w:sz w:val="18"/>
        </w:rPr>
        <w:t>图 4：离线构建从指南源文件生成向量库与词法索引。</w:t>
      </w:r>
    </w:p>
    <w:p w14:paraId="0BCBC4C7">
      <w:pPr>
        <w:spacing w:after="140" w:line="276" w:lineRule="auto"/>
      </w:pPr>
      <w:r>
        <w:rPr>
          <w:rFonts w:ascii="微软雅黑" w:hAnsi="微软雅黑" w:eastAsia="微软雅黑"/>
          <w:sz w:val="21"/>
        </w:rPr>
        <w:t>知识库构建入口是 src/rag/ingest.py，不在 backend startup 中自动执行。常用命令是 python -m src.rag.ingest；需要重建时使用 --reset。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3"/>
        <w:gridCol w:w="3766"/>
        <w:gridCol w:w="3767"/>
      </w:tblGrid>
      <w:tr w14:paraId="3DD7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3FA"/>
            <w:vAlign w:val="center"/>
          </w:tcPr>
          <w:p w14:paraId="4B0630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对象</w:t>
            </w:r>
          </w:p>
        </w:tc>
        <w:tc>
          <w:tcPr>
            <w:tcW w:w="3400" w:type="dxa"/>
            <w:shd w:val="clear" w:color="auto" w:fill="EAF3FA"/>
            <w:vAlign w:val="center"/>
          </w:tcPr>
          <w:p w14:paraId="4601A3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位置 / 配置</w:t>
            </w:r>
          </w:p>
        </w:tc>
        <w:tc>
          <w:tcPr>
            <w:tcW w:w="3400" w:type="dxa"/>
            <w:shd w:val="clear" w:color="auto" w:fill="EAF3FA"/>
            <w:vAlign w:val="center"/>
          </w:tcPr>
          <w:p w14:paraId="48069A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066D8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62B01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原始文档</w:t>
            </w:r>
          </w:p>
        </w:tc>
        <w:tc>
          <w:tcPr>
            <w:tcW w:w="3572" w:type="dxa"/>
            <w:vAlign w:val="center"/>
          </w:tcPr>
          <w:p w14:paraId="696ACB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data/guidelines/*.pdf|*.md|*.txt</w:t>
            </w:r>
          </w:p>
        </w:tc>
        <w:tc>
          <w:tcPr>
            <w:tcW w:w="3742" w:type="dxa"/>
            <w:vAlign w:val="center"/>
          </w:tcPr>
          <w:p w14:paraId="46B545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ingest 扫描的知识库源文件。</w:t>
            </w:r>
          </w:p>
        </w:tc>
      </w:tr>
      <w:tr w14:paraId="2A85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443B9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Chroma collection</w:t>
            </w:r>
          </w:p>
        </w:tc>
        <w:tc>
          <w:tcPr>
            <w:tcW w:w="3572" w:type="dxa"/>
            <w:vAlign w:val="center"/>
          </w:tcPr>
          <w:p w14:paraId="05AFEE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clinical_guidelines</w:t>
            </w:r>
          </w:p>
        </w:tc>
        <w:tc>
          <w:tcPr>
            <w:tcW w:w="3742" w:type="dxa"/>
            <w:vAlign w:val="center"/>
          </w:tcPr>
          <w:p w14:paraId="385D9C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通过 Chroma.add_documents(ids=chunk_id) 写入。</w:t>
            </w:r>
          </w:p>
        </w:tc>
      </w:tr>
      <w:tr w14:paraId="644BD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FD277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Chroma 目录</w:t>
            </w:r>
          </w:p>
        </w:tc>
        <w:tc>
          <w:tcPr>
            <w:tcW w:w="3572" w:type="dxa"/>
            <w:vAlign w:val="center"/>
          </w:tcPr>
          <w:p w14:paraId="59A611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RAG_PERSIST_DIR 或 settings.rag.persist_dir；默认 chroma_db/</w:t>
            </w:r>
          </w:p>
        </w:tc>
        <w:tc>
          <w:tcPr>
            <w:tcW w:w="3742" w:type="dxa"/>
            <w:vAlign w:val="center"/>
          </w:tcPr>
          <w:p w14:paraId="2AFF3A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向量库持久化位置。</w:t>
            </w:r>
          </w:p>
        </w:tc>
      </w:tr>
      <w:tr w14:paraId="4CECF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0AF83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BM25 目录</w:t>
            </w:r>
          </w:p>
        </w:tc>
        <w:tc>
          <w:tcPr>
            <w:tcW w:w="3572" w:type="dxa"/>
            <w:vAlign w:val="center"/>
          </w:tcPr>
          <w:p w14:paraId="152501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RAG_BM25_INDEX_PATH 或 settings.rag.bm25_index_path；默认 bm25_index/</w:t>
            </w:r>
          </w:p>
        </w:tc>
        <w:tc>
          <w:tcPr>
            <w:tcW w:w="3742" w:type="dxa"/>
            <w:vAlign w:val="center"/>
          </w:tcPr>
          <w:p w14:paraId="40C783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词法索引持久化位置。</w:t>
            </w:r>
          </w:p>
        </w:tc>
      </w:tr>
      <w:tr w14:paraId="05789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8360A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BM25 文件</w:t>
            </w:r>
          </w:p>
        </w:tc>
        <w:tc>
          <w:tcPr>
            <w:tcW w:w="3572" w:type="dxa"/>
            <w:vAlign w:val="center"/>
          </w:tcPr>
          <w:p w14:paraId="3CF52B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bm25_data.pkl.gz、bm25_data.meta.json</w:t>
            </w:r>
          </w:p>
        </w:tc>
        <w:tc>
          <w:tcPr>
            <w:tcW w:w="3742" w:type="dxa"/>
            <w:vAlign w:val="center"/>
          </w:tcPr>
          <w:p w14:paraId="03A04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pickle+gzip 数据与可读 metadata。</w:t>
            </w:r>
          </w:p>
        </w:tc>
      </w:tr>
      <w:tr w14:paraId="2B64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767E2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Embedding 后端</w:t>
            </w:r>
          </w:p>
        </w:tc>
        <w:tc>
          <w:tcPr>
            <w:tcW w:w="3572" w:type="dxa"/>
            <w:vAlign w:val="center"/>
          </w:tcPr>
          <w:p w14:paraId="3E08B1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RAG_EMBEDDING_BACKEND=api/local</w:t>
            </w:r>
          </w:p>
        </w:tc>
        <w:tc>
          <w:tcPr>
            <w:tcW w:w="3742" w:type="dxa"/>
            <w:vAlign w:val="center"/>
          </w:tcPr>
          <w:p w14:paraId="6628DE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api 走 EMBEDDING_API_BASE/KEY；local 走 Hugging Face 模型。</w:t>
            </w:r>
          </w:p>
        </w:tc>
      </w:tr>
    </w:tbl>
    <w:p w14:paraId="77FB9A69"/>
    <w:p w14:paraId="596A4751">
      <w:pPr>
        <w:spacing w:after="140" w:line="276" w:lineRule="auto"/>
      </w:pPr>
      <w:r>
        <w:rPr>
          <w:rFonts w:ascii="微软雅黑" w:hAnsi="微软雅黑" w:eastAsia="微软雅黑"/>
          <w:sz w:val="21"/>
        </w:rPr>
        <w:t>ingest 会解析文档、抽取文档级 metadata、切分 chunk、补充 source/chunk_id/page/section 等元数据，可选地加入 contextual prefix 和 hypothetical questions，然后同一批 chunks 同步写入 Chroma 与 BM25。</w:t>
      </w:r>
    </w:p>
    <w:p w14:paraId="354C6C69">
      <w:pPr>
        <w:pStyle w:val="3"/>
      </w:pPr>
      <w:r>
        <w:rPr>
          <w:rFonts w:ascii="微软雅黑" w:hAnsi="微软雅黑" w:eastAsia="微软雅黑"/>
          <w:color w:val="1F4E79"/>
        </w:rPr>
        <w:t>5. RAG 检索链路</w:t>
      </w:r>
    </w:p>
    <w:p w14:paraId="7AC3EE1B">
      <w:pPr>
        <w:jc w:val="center"/>
      </w:pPr>
      <w:r>
        <w:drawing>
          <wp:inline distT="0" distB="0" distL="114300" distR="114300">
            <wp:extent cx="6126480" cy="3254375"/>
            <wp:effectExtent l="0" t="0" r="762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24A5">
      <w:pPr>
        <w:jc w:val="center"/>
      </w:pPr>
      <w:r>
        <w:rPr>
          <w:rFonts w:ascii="微软雅黑" w:hAnsi="微软雅黑" w:eastAsia="微软雅黑"/>
          <w:color w:val="5B6770"/>
          <w:sz w:val="18"/>
        </w:rPr>
        <w:t>图 5：RAG 工具入口经过混合召回、融合和可选重排形成证据。</w:t>
      </w:r>
    </w:p>
    <w:p w14:paraId="5BF0C2BF">
      <w:pPr>
        <w:pStyle w:val="4"/>
      </w:pPr>
      <w:r>
        <w:rPr>
          <w:rFonts w:ascii="微软雅黑" w:hAnsi="微软雅黑" w:eastAsia="微软雅黑"/>
          <w:color w:val="173B5F"/>
        </w:rPr>
        <w:t>5.1 工具注册</w:t>
      </w:r>
    </w:p>
    <w:p w14:paraId="52BB29D2">
      <w:pPr>
        <w:spacing w:after="140" w:line="276" w:lineRule="auto"/>
      </w:pPr>
      <w:r>
        <w:rPr>
          <w:rFonts w:ascii="微软雅黑" w:hAnsi="微软雅黑" w:eastAsia="微软雅黑"/>
          <w:sz w:val="21"/>
        </w:rPr>
        <w:t>src/tools/rag_tools.py 将检索能力封装为 LangChain BaseTool。get_enhanced_rag_tools() 当前默认返回 ClinicalGuidelineSearchTool、TreatmentSearchTool、StagingSearchTool、DrugInfoSearchTool、GuidelineStructureTool 和 GuidelineReaderTool。</w:t>
      </w:r>
    </w:p>
    <w:p w14:paraId="7AC1D237">
      <w:pPr>
        <w:pStyle w:val="4"/>
      </w:pPr>
      <w:r>
        <w:rPr>
          <w:rFonts w:ascii="微软雅黑" w:hAnsi="微软雅黑" w:eastAsia="微软雅黑"/>
          <w:color w:val="173B5F"/>
        </w:rPr>
        <w:t>5.2 从 graph 到 retriever</w:t>
      </w:r>
    </w:p>
    <w:p w14:paraId="5C573EAC">
      <w:pPr>
        <w:spacing w:after="140" w:line="276" w:lineRule="auto"/>
      </w:pPr>
      <w:r>
        <w:rPr>
          <w:rFonts w:ascii="微软雅黑" w:hAnsi="微软雅黑" w:eastAsia="微软雅黑"/>
          <w:sz w:val="21"/>
        </w:rPr>
        <w:t>src/nodes/knowledge_nodes.py:node_knowledge_retrieval() 从工具列表里找 search_clinical_guidelines 作为 local RAG。plan-driven 模式按 current_step.tool_needed 调用 TOC、chapter、search 或 treatment 工具；普通模式下，如果问题需要患者上下文，会先调用 local_rag_tool.invoke({query, top_k})。</w:t>
      </w:r>
    </w:p>
    <w:p w14:paraId="5F31ACBC">
      <w:pPr>
        <w:pStyle w:val="4"/>
      </w:pPr>
      <w:r>
        <w:rPr>
          <w:rFonts w:ascii="微软雅黑" w:hAnsi="微软雅黑" w:eastAsia="微软雅黑"/>
          <w:color w:val="173B5F"/>
        </w:rPr>
        <w:t>5.3 retriever 内部</w:t>
      </w:r>
    </w:p>
    <w:p w14:paraId="18A9BA97">
      <w:pPr>
        <w:pStyle w:val="16"/>
        <w:spacing w:after="60"/>
      </w:pPr>
      <w:r>
        <w:rPr>
          <w:rFonts w:ascii="微软雅黑" w:hAnsi="微软雅黑" w:eastAsia="微软雅黑"/>
          <w:sz w:val="20"/>
        </w:rPr>
        <w:t>_get_vectorstore() 用 lru_cache 缓存 Chroma collection。</w:t>
      </w:r>
    </w:p>
    <w:p w14:paraId="6EF568E9">
      <w:pPr>
        <w:pStyle w:val="16"/>
        <w:spacing w:after="60"/>
      </w:pPr>
      <w:r>
        <w:rPr>
          <w:rFonts w:ascii="微软雅黑" w:hAnsi="微软雅黑" w:eastAsia="微软雅黑"/>
          <w:sz w:val="20"/>
        </w:rPr>
        <w:t>_GlobalRetrieverManager 单例缓存 SimpleRetriever、vectorstore 和 reranker。</w:t>
      </w:r>
    </w:p>
    <w:p w14:paraId="623C96F8">
      <w:pPr>
        <w:pStyle w:val="16"/>
        <w:spacing w:after="60"/>
      </w:pPr>
      <w:r>
        <w:rPr>
          <w:rFonts w:ascii="微软雅黑" w:hAnsi="微软雅黑" w:eastAsia="微软雅黑"/>
          <w:sz w:val="20"/>
        </w:rPr>
        <w:t>SimpleRetriever.retrieve() 默认执行向量检索 + BM25 检索 + rank fusion，可选 rerank。</w:t>
      </w:r>
    </w:p>
    <w:p w14:paraId="5EBF6D35">
      <w:pPr>
        <w:pStyle w:val="16"/>
        <w:spacing w:after="60"/>
      </w:pPr>
      <w:r>
        <w:rPr>
          <w:rFonts w:ascii="微软雅黑" w:hAnsi="微软雅黑" w:eastAsia="微软雅黑"/>
          <w:sz w:val="20"/>
        </w:rPr>
        <w:t>metadata filter 支持 $eq、$in、$ne、$and、$or。</w:t>
      </w:r>
    </w:p>
    <w:p w14:paraId="6731A7F0">
      <w:pPr>
        <w:pStyle w:val="16"/>
        <w:spacing w:after="60"/>
      </w:pPr>
      <w:r>
        <w:rPr>
          <w:rFonts w:ascii="微软雅黑" w:hAnsi="微软雅黑" w:eastAsia="微软雅黑"/>
          <w:sz w:val="20"/>
        </w:rPr>
        <w:t>工具输出先被格式化为带 [[Source:file|Page:n]] 和 retrieved_metadata 的文本，再由 graph synthesis 生成用户可见回答和 references.append。</w:t>
      </w:r>
    </w:p>
    <w:p w14:paraId="160E911E">
      <w:pPr>
        <w:pStyle w:val="3"/>
      </w:pPr>
      <w:bookmarkStart w:id="0" w:name="_GoBack"/>
      <w:bookmarkEnd w:id="0"/>
      <w:r>
        <w:rPr>
          <w:rFonts w:ascii="微软雅黑" w:hAnsi="微软雅黑" w:eastAsia="微软雅黑"/>
          <w:color w:val="1F4E79"/>
        </w:rPr>
        <w:t>6. 前端 API 调用与 SSE 消费</w:t>
      </w:r>
    </w:p>
    <w:p w14:paraId="02519316">
      <w:pPr>
        <w:jc w:val="center"/>
      </w:pPr>
      <w:r>
        <w:drawing>
          <wp:inline distT="0" distB="0" distL="114300" distR="114300">
            <wp:extent cx="6126480" cy="30149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1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4A56">
      <w:pPr>
        <w:jc w:val="center"/>
      </w:pPr>
      <w:r>
        <w:rPr>
          <w:rFonts w:ascii="微软雅黑" w:hAnsi="微软雅黑" w:eastAsia="微软雅黑"/>
          <w:color w:val="5B6770"/>
          <w:sz w:val="18"/>
        </w:rPr>
        <w:t>图 6：前端页面通过 API 客户端消费 POST SSE 流式事件。</w:t>
      </w:r>
    </w:p>
    <w:p w14:paraId="30E5D876">
      <w:pPr>
        <w:spacing w:after="140" w:line="276" w:lineRule="auto"/>
      </w:pPr>
      <w:r>
        <w:rPr>
          <w:rFonts w:ascii="微软雅黑" w:hAnsi="微软雅黑" w:eastAsia="微软雅黑"/>
          <w:sz w:val="21"/>
        </w:rPr>
        <w:t>frontend/src/app/api/client.ts:createApiClient() 是前端请求集中入口。普通 JSON API 使用 parseJsonResponse；流式消息通过 streamTurn() 调用 streamJsonEvents()。</w:t>
      </w:r>
    </w:p>
    <w:p w14:paraId="41564EDC">
      <w:pPr>
        <w:spacing w:after="140" w:line="276" w:lineRule="auto"/>
      </w:pPr>
      <w:r>
        <w:rPr>
          <w:rFonts w:ascii="微软雅黑" w:hAnsi="微软雅黑" w:eastAsia="微软雅黑"/>
          <w:sz w:val="21"/>
        </w:rPr>
        <w:t>当前没有使用浏览器 EventSource，因为服务端接口是 POST JSON body。frontend/src/app/api/stream.ts 使用 fetch + response.body.getReader()，按空行分割 SSE block，只解析 data: 行为 StreamEvent。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4"/>
        <w:gridCol w:w="5932"/>
      </w:tblGrid>
      <w:tr w14:paraId="05BAA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EAF3FA"/>
            <w:vAlign w:val="center"/>
          </w:tcPr>
          <w:p w14:paraId="22D6BA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事件</w:t>
            </w:r>
          </w:p>
        </w:tc>
        <w:tc>
          <w:tcPr>
            <w:tcW w:w="5100" w:type="dxa"/>
            <w:shd w:val="clear" w:color="auto" w:fill="EAF3FA"/>
            <w:vAlign w:val="center"/>
          </w:tcPr>
          <w:p w14:paraId="7ED2F6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前端 reducer 行为</w:t>
            </w:r>
          </w:p>
        </w:tc>
      </w:tr>
      <w:tr w14:paraId="720A5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E7CEA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status.node</w:t>
            </w:r>
          </w:p>
        </w:tc>
        <w:tc>
          <w:tcPr>
            <w:tcW w:w="6973" w:type="dxa"/>
            <w:vAlign w:val="center"/>
          </w:tcPr>
          <w:p w14:paraId="2CEE24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更新 statusNode，并推进 roadmap。</w:t>
            </w:r>
          </w:p>
        </w:tc>
      </w:tr>
      <w:tr w14:paraId="0A1AB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10F03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message.delta</w:t>
            </w:r>
          </w:p>
        </w:tc>
        <w:tc>
          <w:tcPr>
            <w:tcW w:w="6973" w:type="dxa"/>
            <w:vAlign w:val="center"/>
          </w:tcPr>
          <w:p w14:paraId="5033BC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创建或追加流式 AI 消息。</w:t>
            </w:r>
          </w:p>
        </w:tc>
      </w:tr>
      <w:tr w14:paraId="1CC6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DEB54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message.done</w:t>
            </w:r>
          </w:p>
        </w:tc>
        <w:tc>
          <w:tcPr>
            <w:tcW w:w="6973" w:type="dxa"/>
            <w:vAlign w:val="center"/>
          </w:tcPr>
          <w:p w14:paraId="78B988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写入最终 AI 消息、thinking、inline cards。</w:t>
            </w:r>
          </w:p>
        </w:tc>
      </w:tr>
      <w:tr w14:paraId="5586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AE878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card.upsert</w:t>
            </w:r>
          </w:p>
        </w:tc>
        <w:tc>
          <w:tcPr>
            <w:tcW w:w="6973" w:type="dxa"/>
            <w:vAlign w:val="center"/>
          </w:tcPr>
          <w:p w14:paraId="695A81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写入 cards，并尽量挂到最新 AI 消息。</w:t>
            </w:r>
          </w:p>
        </w:tc>
      </w:tr>
      <w:tr w14:paraId="365D2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78AA7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references.append</w:t>
            </w:r>
          </w:p>
        </w:tc>
        <w:tc>
          <w:tcPr>
            <w:tcW w:w="6973" w:type="dxa"/>
            <w:vAlign w:val="center"/>
          </w:tcPr>
          <w:p w14:paraId="327327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去重追加 references。</w:t>
            </w:r>
          </w:p>
        </w:tc>
      </w:tr>
      <w:tr w14:paraId="4A98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6E888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context.maintenance</w:t>
            </w:r>
          </w:p>
        </w:tc>
        <w:tc>
          <w:tcPr>
            <w:tcW w:w="6973" w:type="dxa"/>
            <w:vAlign w:val="center"/>
          </w:tcPr>
          <w:p w14:paraId="2E73F1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更新 context maintenance 状态，doctor 侧会触发轮询 getSession。</w:t>
            </w:r>
          </w:p>
        </w:tc>
      </w:tr>
      <w:tr w14:paraId="37FF8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FC926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error</w:t>
            </w:r>
          </w:p>
        </w:tc>
        <w:tc>
          <w:tcPr>
            <w:tcW w:w="6973" w:type="dxa"/>
            <w:vAlign w:val="center"/>
          </w:tcPr>
          <w:p w14:paraId="69B44F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写入 lastError，并把当前 plan step 标记 blocked。</w:t>
            </w:r>
          </w:p>
        </w:tc>
      </w:tr>
      <w:tr w14:paraId="76C1B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75E98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done</w:t>
            </w:r>
          </w:p>
        </w:tc>
        <w:tc>
          <w:tcPr>
            <w:tcW w:w="6973" w:type="dxa"/>
            <w:vAlign w:val="center"/>
          </w:tcPr>
          <w:p w14:paraId="0C112B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更新 threadId、snapshotVersion，清理 active run/status。</w:t>
            </w:r>
          </w:p>
        </w:tc>
      </w:tr>
    </w:tbl>
    <w:p w14:paraId="6EB3B5D2"/>
    <w:p w14:paraId="730D47F9">
      <w:pPr>
        <w:spacing w:after="140" w:line="276" w:lineRule="auto"/>
      </w:pPr>
      <w:r>
        <w:rPr>
          <w:rFonts w:ascii="微软雅黑" w:hAnsi="微软雅黑" w:eastAsia="微软雅黑"/>
          <w:sz w:val="21"/>
        </w:rPr>
        <w:t>WorkspacePage 通过 useSceneSessions() 同时维护 patient 与 doctor 两个 session id，并写入 localStorage。后端重启导致内存 session 丢失时，前端收到 404 会清理 stale id 并重新创建 session。</w:t>
      </w:r>
    </w:p>
    <w:p w14:paraId="6878529C">
      <w:pPr>
        <w:pStyle w:val="3"/>
      </w:pPr>
      <w:r>
        <w:rPr>
          <w:rFonts w:ascii="微软雅黑" w:hAnsi="微软雅黑" w:eastAsia="微软雅黑"/>
          <w:color w:val="1F4E79"/>
        </w:rPr>
        <w:t>7. 关键数据与边界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8"/>
        <w:gridCol w:w="3668"/>
        <w:gridCol w:w="3370"/>
      </w:tblGrid>
      <w:tr w14:paraId="26268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3FA"/>
            <w:vAlign w:val="center"/>
          </w:tcPr>
          <w:p w14:paraId="376465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数据</w:t>
            </w:r>
          </w:p>
        </w:tc>
        <w:tc>
          <w:tcPr>
            <w:tcW w:w="3400" w:type="dxa"/>
            <w:shd w:val="clear" w:color="auto" w:fill="EAF3FA"/>
            <w:vAlign w:val="center"/>
          </w:tcPr>
          <w:p w14:paraId="4669CA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w="3400" w:type="dxa"/>
            <w:shd w:val="clear" w:color="auto" w:fill="EAF3FA"/>
            <w:vAlign w:val="center"/>
          </w:tcPr>
          <w:p w14:paraId="537DD1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生命周期 / 边界</w:t>
            </w:r>
          </w:p>
        </w:tc>
      </w:tr>
      <w:tr w14:paraId="0C65B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5DCE10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session id/thread id/active run/context_state</w:t>
            </w:r>
          </w:p>
        </w:tc>
        <w:tc>
          <w:tcPr>
            <w:tcW w:w="2948" w:type="dxa"/>
            <w:vAlign w:val="center"/>
          </w:tcPr>
          <w:p w14:paraId="2BF151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InMemorySessionStore</w:t>
            </w:r>
          </w:p>
        </w:tc>
        <w:tc>
          <w:tcPr>
            <w:tcW w:w="3231" w:type="dxa"/>
            <w:vAlign w:val="center"/>
          </w:tcPr>
          <w:p w14:paraId="0B9ADA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进程内；后端重启丢失。</w:t>
            </w:r>
          </w:p>
        </w:tc>
      </w:tr>
      <w:tr w14:paraId="4F81E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7BD9B6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LangGraph checkpoint</w:t>
            </w:r>
          </w:p>
        </w:tc>
        <w:tc>
          <w:tcPr>
            <w:tcW w:w="2948" w:type="dxa"/>
            <w:vAlign w:val="center"/>
          </w:tcPr>
          <w:p w14:paraId="1D501E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get_checkpointer(settings.checkpoint)</w:t>
            </w:r>
          </w:p>
        </w:tc>
        <w:tc>
          <w:tcPr>
            <w:tcW w:w="3231" w:type="dxa"/>
            <w:vAlign w:val="center"/>
          </w:tcPr>
          <w:p w14:paraId="10C548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取决于 checkpoint 配置。</w:t>
            </w:r>
          </w:p>
        </w:tc>
      </w:tr>
      <w:tr w14:paraId="0E2D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134023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患者登记库</w:t>
            </w:r>
          </w:p>
        </w:tc>
        <w:tc>
          <w:tcPr>
            <w:tcW w:w="2948" w:type="dxa"/>
            <w:vAlign w:val="center"/>
          </w:tcPr>
          <w:p w14:paraId="5A69B0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runtime/patient_registry.db</w:t>
            </w:r>
          </w:p>
        </w:tc>
        <w:tc>
          <w:tcPr>
            <w:tcW w:w="3231" w:type="dxa"/>
            <w:vAlign w:val="center"/>
          </w:tcPr>
          <w:p w14:paraId="7C3292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SQLite 落盘。</w:t>
            </w:r>
          </w:p>
        </w:tc>
      </w:tr>
      <w:tr w14:paraId="28A6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AD3AB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上传资产</w:t>
            </w:r>
          </w:p>
        </w:tc>
        <w:tc>
          <w:tcPr>
            <w:tcW w:w="2948" w:type="dxa"/>
            <w:vAlign w:val="center"/>
          </w:tcPr>
          <w:p w14:paraId="1DD22F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runtime/assets/</w:t>
            </w:r>
          </w:p>
        </w:tc>
        <w:tc>
          <w:tcPr>
            <w:tcW w:w="3231" w:type="dxa"/>
            <w:vAlign w:val="center"/>
          </w:tcPr>
          <w:p w14:paraId="6A444F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文件落盘。</w:t>
            </w:r>
          </w:p>
        </w:tc>
      </w:tr>
      <w:tr w14:paraId="59379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D6098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Chroma 向量库</w:t>
            </w:r>
          </w:p>
        </w:tc>
        <w:tc>
          <w:tcPr>
            <w:tcW w:w="2948" w:type="dxa"/>
            <w:vAlign w:val="center"/>
          </w:tcPr>
          <w:p w14:paraId="69BFCA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RAG_PERSIST_DIR 或 chroma_db/</w:t>
            </w:r>
          </w:p>
        </w:tc>
        <w:tc>
          <w:tcPr>
            <w:tcW w:w="3231" w:type="dxa"/>
            <w:vAlign w:val="center"/>
          </w:tcPr>
          <w:p w14:paraId="2CABAD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离线构建后运行时只读。</w:t>
            </w:r>
          </w:p>
        </w:tc>
      </w:tr>
      <w:tr w14:paraId="76A7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099C6A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BM25 词法索引</w:t>
            </w:r>
          </w:p>
        </w:tc>
        <w:tc>
          <w:tcPr>
            <w:tcW w:w="2948" w:type="dxa"/>
            <w:vAlign w:val="center"/>
          </w:tcPr>
          <w:p w14:paraId="236399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RAG_BM25_INDEX_PATH 或 bm25_index/</w:t>
            </w:r>
          </w:p>
        </w:tc>
        <w:tc>
          <w:tcPr>
            <w:tcW w:w="3231" w:type="dxa"/>
            <w:vAlign w:val="center"/>
          </w:tcPr>
          <w:p w14:paraId="7BAEA4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离线构建后运行时只读。</w:t>
            </w:r>
          </w:p>
        </w:tc>
      </w:tr>
      <w:tr w14:paraId="0AE29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740CE7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 session id</w:t>
            </w:r>
          </w:p>
        </w:tc>
        <w:tc>
          <w:tcPr>
            <w:tcW w:w="2948" w:type="dxa"/>
            <w:vAlign w:val="center"/>
          </w:tcPr>
          <w:p w14:paraId="144BD5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localStorage</w:t>
            </w:r>
          </w:p>
        </w:tc>
        <w:tc>
          <w:tcPr>
            <w:tcW w:w="3231" w:type="dxa"/>
            <w:vAlign w:val="center"/>
          </w:tcPr>
          <w:p w14:paraId="4DCC4D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浏览器本地；后端 session 丢失时重建。</w:t>
            </w:r>
          </w:p>
        </w:tc>
      </w:tr>
    </w:tbl>
    <w:p w14:paraId="18286B80"/>
    <w:p w14:paraId="67137219">
      <w:pPr>
        <w:pStyle w:val="16"/>
        <w:spacing w:after="60"/>
      </w:pPr>
      <w:r>
        <w:rPr>
          <w:rFonts w:ascii="微软雅黑" w:hAnsi="微软雅黑" w:eastAsia="微软雅黑"/>
          <w:sz w:val="20"/>
        </w:rPr>
        <w:t>每个 session 只有一个 active run；chat stream 与 upload 都会使用 session run lock。</w:t>
      </w:r>
    </w:p>
    <w:p w14:paraId="3606CC48">
      <w:pPr>
        <w:pStyle w:val="16"/>
        <w:spacing w:after="60"/>
      </w:pPr>
      <w:r>
        <w:rPr>
          <w:rFonts w:ascii="微软雅黑" w:hAnsi="微软雅黑" w:eastAsia="微软雅黑"/>
          <w:sz w:val="20"/>
        </w:rPr>
        <w:t>patient scene 偏自述、身份、上传与轻量 graph；doctor scene 可绑定 registry patient，并在下一轮运行前注入患者摘要。</w:t>
      </w:r>
    </w:p>
    <w:p w14:paraId="4F4CA6F3">
      <w:pPr>
        <w:pStyle w:val="16"/>
        <w:spacing w:after="60"/>
      </w:pPr>
      <w:r>
        <w:rPr>
          <w:rFonts w:ascii="微软雅黑" w:hAnsi="微软雅黑" w:eastAsia="微软雅黑"/>
          <w:sz w:val="20"/>
        </w:rPr>
        <w:t>RAG ingest 是离线动作；runtime 只初始化和缓存 retriever。</w:t>
      </w:r>
    </w:p>
    <w:p w14:paraId="4C12A475">
      <w:pPr>
        <w:pStyle w:val="16"/>
        <w:spacing w:after="60"/>
      </w:pPr>
      <w:r>
        <w:rPr>
          <w:rFonts w:ascii="微软雅黑" w:hAnsi="微软雅黑" w:eastAsia="微软雅黑"/>
          <w:sz w:val="20"/>
        </w:rPr>
        <w:t>citations/references 的结构化传递依赖 RAG tool 输出和 graph 节点提取；前端只消费 references.append。</w:t>
      </w:r>
    </w:p>
    <w:p w14:paraId="69A1EBDF">
      <w:pPr>
        <w:sectPr>
          <w:pgSz w:w="12240" w:h="15840"/>
          <w:pgMar w:top="964" w:right="1020" w:bottom="964" w:left="1020" w:header="720" w:footer="720" w:gutter="0"/>
          <w:cols w:space="720" w:num="1"/>
          <w:docGrid w:linePitch="360" w:charSpace="0"/>
        </w:sectPr>
      </w:pPr>
    </w:p>
    <w:p w14:paraId="466D5037"/>
    <w:sectPr>
      <w:type w:val="continuous"/>
      <w:pgSz w:w="12240" w:h="15840"/>
      <w:pgMar w:top="964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Vermin Vibes 2 Sof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min Vibes 2 Soft">
    <w:panose1 w:val="02000500000000000000"/>
    <w:charset w:val="00"/>
    <w:family w:val="auto"/>
    <w:pitch w:val="default"/>
    <w:sig w:usb0="00000083" w:usb1="5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76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1795</Words>
  <Characters>5680</Characters>
  <Lines>0</Lines>
  <Paragraphs>0</Paragraphs>
  <TotalTime>11</TotalTime>
  <ScaleCrop>false</ScaleCrop>
  <LinksUpToDate>false</LinksUpToDate>
  <CharactersWithSpaces>6107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我是好孩子</cp:lastModifiedBy>
  <dcterms:modified xsi:type="dcterms:W3CDTF">2026-04-30T09:42:45Z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eyJoZGlkIjoiNzQ5ZWMwZjEzZjY5YmYzMTY5MjY5NTc0NzM0YmQ1MTQiLCJ1c2VySWQiOiIzNzU1ODE1NjEifQ==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DAA88413C23B442BB2ECD3FE1DD05031_12</vt:lpwstr>
  </property>
</Properties>
</file>